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39057" w14:textId="77777777" w:rsidR="00D051DF" w:rsidRPr="005476F3" w:rsidRDefault="00D051DF" w:rsidP="00993EF2">
      <w:pPr>
        <w:pStyle w:val="GIBody"/>
        <w:rPr>
          <w:color w:val="auto"/>
        </w:rPr>
      </w:pPr>
    </w:p>
    <w:p w14:paraId="39A53099" w14:textId="77777777" w:rsidR="00434022" w:rsidRPr="005476F3" w:rsidRDefault="00434022" w:rsidP="00145310">
      <w:pPr>
        <w:pStyle w:val="GIHeader2"/>
        <w:rPr>
          <w:color w:val="auto"/>
        </w:rPr>
        <w:sectPr w:rsidR="00434022" w:rsidRPr="005476F3" w:rsidSect="00080F48">
          <w:headerReference w:type="even" r:id="rId12"/>
          <w:headerReference w:type="default" r:id="rId13"/>
          <w:footerReference w:type="even" r:id="rId14"/>
          <w:footerReference w:type="default" r:id="rId15"/>
          <w:headerReference w:type="first" r:id="rId16"/>
          <w:footerReference w:type="first" r:id="rId17"/>
          <w:pgSz w:w="11909" w:h="16834" w:code="9"/>
          <w:pgMar w:top="1514" w:right="680" w:bottom="1514" w:left="1134" w:header="0" w:footer="720" w:gutter="0"/>
          <w:cols w:space="720"/>
          <w:noEndnote/>
          <w:titlePg/>
          <w:docGrid w:linePitch="299"/>
        </w:sectPr>
      </w:pPr>
    </w:p>
    <w:tbl>
      <w:tblPr>
        <w:tblStyle w:val="TableGrid"/>
        <w:tblpPr w:leftFromText="180" w:rightFromText="180" w:vertAnchor="page" w:horzAnchor="margin" w:tblpY="35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5"/>
        <w:gridCol w:w="3066"/>
      </w:tblGrid>
      <w:tr w:rsidR="005476F3" w:rsidRPr="005476F3" w14:paraId="53E72883" w14:textId="77777777" w:rsidTr="462320E3">
        <w:trPr>
          <w:cantSplit/>
        </w:trPr>
        <w:tc>
          <w:tcPr>
            <w:tcW w:w="7255" w:type="dxa"/>
            <w:vAlign w:val="bottom"/>
          </w:tcPr>
          <w:p w14:paraId="17B9FE7D" w14:textId="7C906DEB" w:rsidR="00425CB9" w:rsidRDefault="00425CB9" w:rsidP="007D6867">
            <w:pPr>
              <w:pStyle w:val="GICoverHeader1"/>
              <w:framePr w:hSpace="0" w:wrap="auto" w:vAnchor="margin" w:hAnchor="text" w:yAlign="inline"/>
              <w:spacing w:after="40"/>
              <w:ind w:left="-108"/>
            </w:pPr>
            <w:r>
              <w:t>Green Generation fund gmbh &amp; Co.   KG</w:t>
            </w:r>
          </w:p>
          <w:p w14:paraId="4D1F6389" w14:textId="109DFB2F" w:rsidR="007D6867" w:rsidRPr="005476F3" w:rsidRDefault="004E4DAD" w:rsidP="007D6867">
            <w:pPr>
              <w:pStyle w:val="GICoverHeader1"/>
              <w:framePr w:hSpace="0" w:wrap="auto" w:vAnchor="margin" w:hAnchor="text" w:yAlign="inline"/>
              <w:spacing w:after="40"/>
              <w:ind w:left="-108"/>
              <w:rPr>
                <w:color w:val="auto"/>
              </w:rPr>
            </w:pPr>
            <w:r w:rsidRPr="005476F3">
              <w:rPr>
                <w:color w:val="auto"/>
              </w:rPr>
              <w:t xml:space="preserve">Article </w:t>
            </w:r>
            <w:r w:rsidR="00DF17EF" w:rsidRPr="005476F3">
              <w:rPr>
                <w:color w:val="auto"/>
              </w:rPr>
              <w:t>8</w:t>
            </w:r>
            <w:r w:rsidRPr="005476F3">
              <w:rPr>
                <w:color w:val="auto"/>
              </w:rPr>
              <w:t>(1) of Regulation (EU) 2019/2088</w:t>
            </w:r>
          </w:p>
        </w:tc>
        <w:tc>
          <w:tcPr>
            <w:tcW w:w="3066" w:type="dxa"/>
            <w:tcMar>
              <w:left w:w="115" w:type="dxa"/>
              <w:right w:w="0" w:type="dxa"/>
            </w:tcMar>
            <w:vAlign w:val="bottom"/>
          </w:tcPr>
          <w:p w14:paraId="483A651F" w14:textId="77777777" w:rsidR="002A34FD" w:rsidRPr="005476F3" w:rsidRDefault="002A34FD" w:rsidP="00A44BBB">
            <w:pPr>
              <w:pStyle w:val="GIHeader2"/>
              <w:jc w:val="right"/>
              <w:rPr>
                <w:color w:val="auto"/>
              </w:rPr>
            </w:pPr>
          </w:p>
          <w:p w14:paraId="034634C0" w14:textId="63E9FEBC" w:rsidR="002A34FD" w:rsidRPr="005476F3" w:rsidRDefault="00662E71" w:rsidP="006A4B23">
            <w:pPr>
              <w:pStyle w:val="GIHeader2"/>
              <w:jc w:val="right"/>
              <w:rPr>
                <w:color w:val="auto"/>
                <w:sz w:val="28"/>
              </w:rPr>
            </w:pPr>
            <w:r w:rsidRPr="005476F3">
              <w:rPr>
                <w:color w:val="auto"/>
                <w:sz w:val="28"/>
              </w:rPr>
              <w:t xml:space="preserve">SFDR </w:t>
            </w:r>
            <w:r w:rsidR="008626B6">
              <w:rPr>
                <w:color w:val="auto"/>
                <w:sz w:val="28"/>
              </w:rPr>
              <w:t>Website</w:t>
            </w:r>
            <w:r w:rsidR="00DB1181" w:rsidRPr="005476F3">
              <w:rPr>
                <w:color w:val="auto"/>
                <w:sz w:val="28"/>
              </w:rPr>
              <w:t xml:space="preserve"> DISCLOSURE</w:t>
            </w:r>
          </w:p>
          <w:p w14:paraId="37625F1A" w14:textId="48CCD2B8" w:rsidR="006A4B23" w:rsidRPr="005476F3" w:rsidRDefault="007B72D5" w:rsidP="006A4B23">
            <w:pPr>
              <w:pStyle w:val="GIHeader2"/>
              <w:jc w:val="right"/>
              <w:rPr>
                <w:color w:val="auto"/>
              </w:rPr>
            </w:pPr>
            <w:r>
              <w:rPr>
                <w:color w:val="auto"/>
              </w:rPr>
              <w:t>July 2021</w:t>
            </w:r>
          </w:p>
        </w:tc>
      </w:tr>
    </w:tbl>
    <w:p w14:paraId="6609FFAE" w14:textId="77777777" w:rsidR="0052458E" w:rsidRPr="005476F3" w:rsidRDefault="0052458E" w:rsidP="006A4B23"/>
    <w:p w14:paraId="28A2AB1A" w14:textId="668D8783" w:rsidR="00002867" w:rsidRPr="005476F3" w:rsidRDefault="005476F3" w:rsidP="005476F3">
      <w:pPr>
        <w:tabs>
          <w:tab w:val="left" w:pos="6787"/>
        </w:tabs>
      </w:pPr>
      <w:r w:rsidRPr="005476F3">
        <w:tab/>
      </w:r>
    </w:p>
    <w:p w14:paraId="038AC5B6" w14:textId="77777777" w:rsidR="0065104E" w:rsidRPr="005476F3" w:rsidRDefault="0065104E" w:rsidP="006A4B23"/>
    <w:p w14:paraId="7DCF929B" w14:textId="77777777" w:rsidR="007D6867" w:rsidRPr="005476F3" w:rsidRDefault="007D6867" w:rsidP="00FE5180">
      <w:pPr>
        <w:pStyle w:val="GITOCHeader2"/>
        <w:rPr>
          <w:color w:val="auto"/>
        </w:rPr>
      </w:pPr>
    </w:p>
    <w:p w14:paraId="018441A3" w14:textId="51E9D322" w:rsidR="005C0034" w:rsidRPr="005476F3" w:rsidRDefault="005C0034" w:rsidP="005C0034">
      <w:pPr>
        <w:pStyle w:val="GITOCHeader1"/>
        <w:rPr>
          <w:color w:val="auto"/>
        </w:rPr>
      </w:pPr>
      <w:r w:rsidRPr="005476F3">
        <w:rPr>
          <w:color w:val="auto"/>
        </w:rPr>
        <w:t>PROMOTION</w:t>
      </w:r>
      <w:r w:rsidR="006F3B7E" w:rsidRPr="005476F3">
        <w:rPr>
          <w:color w:val="auto"/>
        </w:rPr>
        <w:t xml:space="preserve"> OF ENVIRONMENTAL AND SOCIAL CHARACTERISTICS</w:t>
      </w:r>
    </w:p>
    <w:p w14:paraId="3B629298" w14:textId="6F368173" w:rsidR="002A2ED5" w:rsidRPr="005476F3" w:rsidRDefault="007E22E0" w:rsidP="009756E6">
      <w:pPr>
        <w:ind w:left="0"/>
        <w:jc w:val="both"/>
      </w:pPr>
      <w:r w:rsidRPr="00224FD1">
        <w:rPr>
          <w:sz w:val="18"/>
          <w:szCs w:val="18"/>
          <w:lang w:val="en-GB"/>
        </w:rPr>
        <w:t>Green Generation Fund GmbH &amp; Co. KG</w:t>
      </w:r>
      <w:r w:rsidR="00DF17EF" w:rsidRPr="00224FD1">
        <w:rPr>
          <w:sz w:val="18"/>
          <w:szCs w:val="18"/>
          <w:lang w:val="en-GB"/>
        </w:rPr>
        <w:t xml:space="preserve"> </w:t>
      </w:r>
      <w:r w:rsidR="00985D87" w:rsidRPr="005476F3">
        <w:rPr>
          <w:sz w:val="18"/>
          <w:szCs w:val="18"/>
          <w:lang w:val="en-GB"/>
        </w:rPr>
        <w:t>(hereafter referred to as “</w:t>
      </w:r>
      <w:r w:rsidR="0092223C" w:rsidRPr="0000492B">
        <w:rPr>
          <w:b/>
          <w:bCs/>
          <w:sz w:val="18"/>
          <w:szCs w:val="18"/>
          <w:lang w:val="en-GB"/>
        </w:rPr>
        <w:t>Green Generation</w:t>
      </w:r>
      <w:r w:rsidR="00985D87" w:rsidRPr="005476F3">
        <w:rPr>
          <w:sz w:val="18"/>
          <w:szCs w:val="18"/>
          <w:lang w:val="en-GB"/>
        </w:rPr>
        <w:t>” or the “</w:t>
      </w:r>
      <w:r w:rsidR="00985D87" w:rsidRPr="005476F3">
        <w:rPr>
          <w:b/>
          <w:bCs/>
          <w:sz w:val="18"/>
          <w:szCs w:val="18"/>
          <w:lang w:val="en-GB"/>
        </w:rPr>
        <w:t>Fund</w:t>
      </w:r>
      <w:r w:rsidR="00985D87" w:rsidRPr="005476F3">
        <w:rPr>
          <w:sz w:val="18"/>
          <w:szCs w:val="18"/>
          <w:lang w:val="en-GB"/>
        </w:rPr>
        <w:t>”)</w:t>
      </w:r>
      <w:r w:rsidR="00985D87" w:rsidRPr="005476F3">
        <w:t xml:space="preserve"> </w:t>
      </w:r>
      <w:r w:rsidR="00D07137" w:rsidRPr="005476F3">
        <w:t>p</w:t>
      </w:r>
      <w:r w:rsidR="002A2ED5" w:rsidRPr="005476F3">
        <w:t xml:space="preserve">romotes environmental </w:t>
      </w:r>
      <w:r w:rsidR="00620079">
        <w:t>and</w:t>
      </w:r>
      <w:r w:rsidR="002A2ED5" w:rsidRPr="005476F3">
        <w:t xml:space="preserve"> social </w:t>
      </w:r>
      <w:r w:rsidR="009663DA" w:rsidRPr="005476F3">
        <w:t>characteristics</w:t>
      </w:r>
      <w:r w:rsidR="00DF17EF" w:rsidRPr="005476F3">
        <w:t>,</w:t>
      </w:r>
      <w:r w:rsidR="009663DA" w:rsidRPr="005476F3">
        <w:t xml:space="preserve"> but</w:t>
      </w:r>
      <w:r w:rsidR="002A2ED5" w:rsidRPr="005476F3">
        <w:t xml:space="preserve"> does not have as its objective a sustainable investment</w:t>
      </w:r>
      <w:r w:rsidR="00DF17EF" w:rsidRPr="005476F3">
        <w:t xml:space="preserve"> as defined by Article 9(1) of Regulation (EU) 2019/2088</w:t>
      </w:r>
      <w:r w:rsidR="00F509C2" w:rsidRPr="005476F3">
        <w:t xml:space="preserve"> ("</w:t>
      </w:r>
      <w:r w:rsidR="00F509C2" w:rsidRPr="005476F3">
        <w:rPr>
          <w:b/>
          <w:bCs/>
        </w:rPr>
        <w:t>SFDR</w:t>
      </w:r>
      <w:r w:rsidR="00F509C2" w:rsidRPr="005476F3">
        <w:t>")</w:t>
      </w:r>
      <w:r w:rsidR="00DF17EF" w:rsidRPr="005476F3">
        <w:t>.</w:t>
      </w:r>
    </w:p>
    <w:p w14:paraId="71127CD8" w14:textId="21A4D874" w:rsidR="00F509C2" w:rsidRPr="005476F3" w:rsidRDefault="00F509C2" w:rsidP="009756E6">
      <w:pPr>
        <w:ind w:left="0"/>
        <w:jc w:val="both"/>
      </w:pPr>
      <w:r w:rsidRPr="005476F3">
        <w:t>These disclosures set out the environmental and/or social characteristics promoted by the Fund as required by Article 8 SFDR. They do not alter the existing investment strategy.</w:t>
      </w:r>
    </w:p>
    <w:p w14:paraId="1A846C18" w14:textId="76091B88" w:rsidR="002A2ED5" w:rsidRPr="005476F3" w:rsidRDefault="00F4257E" w:rsidP="00350FBA">
      <w:pPr>
        <w:pStyle w:val="GIBulletXXX"/>
      </w:pPr>
      <w:r>
        <w:t xml:space="preserve">a. </w:t>
      </w:r>
      <w:r w:rsidR="002A2ED5" w:rsidRPr="005476F3">
        <w:t xml:space="preserve">Has a reference benchmark been designated for the purpose of attaining the sustainable investment objective of the financial product? </w:t>
      </w:r>
    </w:p>
    <w:p w14:paraId="2BABA039" w14:textId="6ACD9AEE" w:rsidR="003D5872" w:rsidRPr="005476F3" w:rsidRDefault="003D5872" w:rsidP="009756E6">
      <w:pPr>
        <w:ind w:left="0"/>
        <w:jc w:val="both"/>
      </w:pPr>
      <w:r w:rsidRPr="005476F3">
        <w:t xml:space="preserve">There is no reference benchmark index currently </w:t>
      </w:r>
      <w:r w:rsidR="004662C7">
        <w:t xml:space="preserve">used for our investments in </w:t>
      </w:r>
      <w:r w:rsidR="00153075">
        <w:t>small or medium-sized enterprises</w:t>
      </w:r>
      <w:r w:rsidR="008336C1">
        <w:t xml:space="preserve"> and small mid-cap businesses</w:t>
      </w:r>
      <w:r w:rsidRPr="005476F3">
        <w:t xml:space="preserve">, however, </w:t>
      </w:r>
      <w:r w:rsidR="008336C1">
        <w:t>Green Generation Management GmbH</w:t>
      </w:r>
      <w:r w:rsidR="009756E6" w:rsidRPr="005476F3">
        <w:t xml:space="preserve"> (</w:t>
      </w:r>
      <w:r w:rsidRPr="005476F3">
        <w:t xml:space="preserve">the </w:t>
      </w:r>
      <w:r w:rsidR="009756E6" w:rsidRPr="005476F3">
        <w:t>“</w:t>
      </w:r>
      <w:r w:rsidRPr="005476F3">
        <w:rPr>
          <w:b/>
          <w:bCs/>
        </w:rPr>
        <w:t>Firm</w:t>
      </w:r>
      <w:r w:rsidR="009756E6" w:rsidRPr="005476F3">
        <w:t>”</w:t>
      </w:r>
      <w:r w:rsidR="00730316" w:rsidRPr="005476F3">
        <w:t xml:space="preserve"> or “</w:t>
      </w:r>
      <w:r w:rsidR="00730316" w:rsidRPr="005476F3">
        <w:rPr>
          <w:b/>
          <w:bCs/>
        </w:rPr>
        <w:t>our</w:t>
      </w:r>
      <w:r w:rsidR="00730316" w:rsidRPr="005476F3">
        <w:t>” or “</w:t>
      </w:r>
      <w:r w:rsidR="00730316" w:rsidRPr="005476F3">
        <w:rPr>
          <w:b/>
          <w:bCs/>
        </w:rPr>
        <w:t>we</w:t>
      </w:r>
      <w:r w:rsidR="00730316" w:rsidRPr="005476F3">
        <w:t>” as the applicable context requires</w:t>
      </w:r>
      <w:r w:rsidR="009756E6" w:rsidRPr="005476F3">
        <w:t>)</w:t>
      </w:r>
      <w:r w:rsidRPr="005476F3">
        <w:t xml:space="preserve"> has aligned with </w:t>
      </w:r>
      <w:r w:rsidR="001C72E5">
        <w:t xml:space="preserve">the </w:t>
      </w:r>
      <w:r w:rsidR="00460B6C">
        <w:t xml:space="preserve">solutions provided by </w:t>
      </w:r>
      <w:r w:rsidR="00EC6E87">
        <w:t>ISS</w:t>
      </w:r>
      <w:r w:rsidR="00C17C32">
        <w:rPr>
          <w:rStyle w:val="FootnoteReference"/>
        </w:rPr>
        <w:footnoteReference w:id="2"/>
      </w:r>
      <w:r w:rsidRPr="005476F3">
        <w:t xml:space="preserve"> when setting up the performance measurement framework for the </w:t>
      </w:r>
      <w:r w:rsidR="00FE3800" w:rsidRPr="005476F3">
        <w:t>F</w:t>
      </w:r>
      <w:r w:rsidRPr="005476F3">
        <w:t>und.</w:t>
      </w:r>
    </w:p>
    <w:p w14:paraId="05748B54" w14:textId="149DF807" w:rsidR="002A2ED5" w:rsidRPr="005476F3" w:rsidRDefault="00F4257E" w:rsidP="00350FBA">
      <w:pPr>
        <w:pStyle w:val="GIBulletXXX"/>
      </w:pPr>
      <w:r>
        <w:t xml:space="preserve">b. </w:t>
      </w:r>
      <w:r w:rsidR="002A2ED5" w:rsidRPr="005476F3">
        <w:t>What environmental and/or social characteristics are promoted by this financial product?</w:t>
      </w:r>
    </w:p>
    <w:p w14:paraId="39C5BA07" w14:textId="3296B4B6" w:rsidR="00E40AED" w:rsidRPr="005476F3" w:rsidRDefault="001D7C51" w:rsidP="009756E6">
      <w:pPr>
        <w:ind w:left="0"/>
        <w:jc w:val="both"/>
      </w:pPr>
      <w:r w:rsidRPr="005476F3">
        <w:t>The Firm</w:t>
      </w:r>
      <w:r w:rsidR="00774DF8" w:rsidRPr="005476F3">
        <w:t xml:space="preserve"> </w:t>
      </w:r>
      <w:r w:rsidR="00791DE9" w:rsidRPr="005476F3">
        <w:t xml:space="preserve">is dedicated to </w:t>
      </w:r>
      <w:r w:rsidR="00F84BFD">
        <w:t xml:space="preserve">investing in green </w:t>
      </w:r>
      <w:r w:rsidR="00C53BC7">
        <w:t>P</w:t>
      </w:r>
      <w:r w:rsidR="00F84BFD">
        <w:t xml:space="preserve">ortfolio </w:t>
      </w:r>
      <w:r w:rsidR="00C53BC7">
        <w:t>C</w:t>
      </w:r>
      <w:r w:rsidR="00F84BFD">
        <w:t>ompanies and</w:t>
      </w:r>
      <w:r w:rsidR="00E40AED" w:rsidRPr="005476F3">
        <w:t xml:space="preserve"> to lead the transition to a net zero carbon, resilient, equitable and healthy society. Recognizing that this can be achieved only as a collaborative effort, </w:t>
      </w:r>
      <w:r w:rsidR="0081112A" w:rsidRPr="005476F3">
        <w:t>the Firm</w:t>
      </w:r>
      <w:r w:rsidR="00E40AED" w:rsidRPr="005476F3">
        <w:t xml:space="preserve"> encourage</w:t>
      </w:r>
      <w:r w:rsidR="0081112A" w:rsidRPr="005476F3">
        <w:t>s</w:t>
      </w:r>
      <w:r w:rsidR="00E40AED" w:rsidRPr="005476F3">
        <w:t xml:space="preserve"> </w:t>
      </w:r>
      <w:r w:rsidR="0081112A" w:rsidRPr="005476F3">
        <w:t>its</w:t>
      </w:r>
      <w:r w:rsidR="00E40AED" w:rsidRPr="005476F3">
        <w:t xml:space="preserve"> partners to join </w:t>
      </w:r>
      <w:r w:rsidR="0081112A" w:rsidRPr="005476F3">
        <w:t>it</w:t>
      </w:r>
      <w:r w:rsidR="00E40AED" w:rsidRPr="005476F3">
        <w:t xml:space="preserve"> in delivering this ambition. </w:t>
      </w:r>
    </w:p>
    <w:p w14:paraId="717E7801" w14:textId="1E97330B" w:rsidR="00E40AED" w:rsidRPr="005476F3" w:rsidRDefault="00E40AED" w:rsidP="009756E6">
      <w:pPr>
        <w:ind w:left="0"/>
        <w:jc w:val="both"/>
      </w:pPr>
      <w:r w:rsidRPr="005476F3">
        <w:t>A comprehensive external and internal stakeholder engagement and materiality assessment, aligned with</w:t>
      </w:r>
      <w:r w:rsidR="00507ABD" w:rsidRPr="005476F3">
        <w:t xml:space="preserve"> the</w:t>
      </w:r>
      <w:r w:rsidRPr="005476F3">
        <w:t xml:space="preserve"> Global Reporting Initiative, the UN Sustainable Development Goals and </w:t>
      </w:r>
      <w:r w:rsidR="0099584A" w:rsidRPr="005476F3">
        <w:t xml:space="preserve">the </w:t>
      </w:r>
      <w:r w:rsidRPr="005476F3">
        <w:t xml:space="preserve">EU taxonomy guidelines, identified sustainability factors material for </w:t>
      </w:r>
      <w:r w:rsidR="00507ABD" w:rsidRPr="005476F3">
        <w:t>the Firm’s</w:t>
      </w:r>
      <w:r w:rsidRPr="005476F3">
        <w:t xml:space="preserve"> investments and operations. The targets and actions to achieve </w:t>
      </w:r>
      <w:r w:rsidR="00507ABD" w:rsidRPr="005476F3">
        <w:t>the Firm’s</w:t>
      </w:r>
      <w:r w:rsidRPr="005476F3">
        <w:t xml:space="preserve"> </w:t>
      </w:r>
      <w:r w:rsidR="0099584A" w:rsidRPr="005476F3">
        <w:t>s</w:t>
      </w:r>
      <w:r w:rsidRPr="005476F3">
        <w:t xml:space="preserve">ustainability </w:t>
      </w:r>
      <w:r w:rsidR="0099584A" w:rsidRPr="005476F3">
        <w:t>v</w:t>
      </w:r>
      <w:r w:rsidRPr="005476F3">
        <w:t xml:space="preserve">ision </w:t>
      </w:r>
      <w:r w:rsidR="00E6781B" w:rsidRPr="005476F3">
        <w:t xml:space="preserve">and </w:t>
      </w:r>
      <w:r w:rsidR="00E6781B" w:rsidRPr="005476F3">
        <w:lastRenderedPageBreak/>
        <w:t xml:space="preserve">Fund’s ESG strategy </w:t>
      </w:r>
      <w:r w:rsidRPr="005476F3">
        <w:t xml:space="preserve">are therefore focused on </w:t>
      </w:r>
      <w:r w:rsidR="002D3640">
        <w:t>five</w:t>
      </w:r>
      <w:r w:rsidRPr="005476F3">
        <w:t xml:space="preserve"> umbrella ESG criteria: </w:t>
      </w:r>
      <w:r w:rsidR="0026233E">
        <w:t>Climate, Responsible Consumption and Production</w:t>
      </w:r>
      <w:r w:rsidR="002939B7">
        <w:t>,</w:t>
      </w:r>
      <w:r w:rsidR="0026233E">
        <w:t xml:space="preserve"> </w:t>
      </w:r>
      <w:r w:rsidR="0079262F">
        <w:t xml:space="preserve">Good Health and Well-Being (Food Technology), </w:t>
      </w:r>
      <w:r w:rsidR="00567D1C">
        <w:t>People</w:t>
      </w:r>
      <w:r w:rsidR="0079262F">
        <w:t xml:space="preserve"> and Life on Land (Animal Welfare)</w:t>
      </w:r>
      <w:r w:rsidR="00637AD5">
        <w:t>.</w:t>
      </w:r>
      <w:r w:rsidR="0099584A" w:rsidRPr="005476F3">
        <w:t xml:space="preserve"> Taking each in turn:</w:t>
      </w:r>
    </w:p>
    <w:p w14:paraId="1BCEB9EC" w14:textId="4C5819C7" w:rsidR="00E40AED" w:rsidRPr="005476F3" w:rsidRDefault="00E40AED" w:rsidP="009756E6">
      <w:pPr>
        <w:suppressAutoHyphens/>
        <w:jc w:val="both"/>
        <w:rPr>
          <w:rStyle w:val="GIBulletXXXXChar"/>
          <w:sz w:val="2"/>
          <w:szCs w:val="2"/>
        </w:rPr>
      </w:pPr>
    </w:p>
    <w:p w14:paraId="53BAAB19" w14:textId="77777777" w:rsidR="002939B7" w:rsidRDefault="002939B7" w:rsidP="002939B7">
      <w:pPr>
        <w:pStyle w:val="GIBodyBullets1"/>
        <w:numPr>
          <w:ilvl w:val="0"/>
          <w:numId w:val="19"/>
        </w:numPr>
        <w:jc w:val="both"/>
        <w:textAlignment w:val="auto"/>
        <w:rPr>
          <w:rFonts w:ascii="FuturaBT-Book" w:hAnsi="FuturaBT-Book" w:cs="FuturaBT-Book"/>
          <w:color w:val="auto"/>
          <w:lang w:val="en-GB"/>
        </w:rPr>
      </w:pPr>
      <w:r>
        <w:rPr>
          <w:rFonts w:ascii="Futura MdCn BT" w:eastAsia="Cambria" w:hAnsi="Futura MdCn BT" w:cs="Arial"/>
          <w:color w:val="auto"/>
          <w:szCs w:val="20"/>
        </w:rPr>
        <w:t>CLIMATE:</w:t>
      </w:r>
      <w:r>
        <w:rPr>
          <w:color w:val="auto"/>
        </w:rPr>
        <w:t xml:space="preserve"> Commitment to address climate-related risks and opportunities by focusing on delivering net-zero carbon performance and physical resilience.</w:t>
      </w:r>
    </w:p>
    <w:p w14:paraId="64F40B5D" w14:textId="3366DBE8" w:rsidR="00322A91" w:rsidRDefault="00322A91" w:rsidP="002939B7">
      <w:pPr>
        <w:pStyle w:val="GIBodyBullets1"/>
        <w:numPr>
          <w:ilvl w:val="0"/>
          <w:numId w:val="19"/>
        </w:numPr>
        <w:jc w:val="both"/>
        <w:textAlignment w:val="auto"/>
        <w:rPr>
          <w:color w:val="auto"/>
        </w:rPr>
      </w:pPr>
      <w:r>
        <w:rPr>
          <w:color w:val="auto"/>
        </w:rPr>
        <w:t xml:space="preserve">RESPONSIBLE CONSUMPTION AND PRODUCTION: </w:t>
      </w:r>
      <w:r w:rsidR="00437471">
        <w:rPr>
          <w:color w:val="auto"/>
        </w:rPr>
        <w:t xml:space="preserve">Commitment to companies that fundamentally change the way we consume – specifically, a commitment to companies with strong IP in innovative packaging solutions, supporting environmentally-friendly suppliers who deliver consumer goods. </w:t>
      </w:r>
    </w:p>
    <w:p w14:paraId="2ED3E481" w14:textId="0C9CE2D9" w:rsidR="00403419" w:rsidRPr="00322A91" w:rsidRDefault="00865758" w:rsidP="002939B7">
      <w:pPr>
        <w:pStyle w:val="GIBodyBullets1"/>
        <w:numPr>
          <w:ilvl w:val="0"/>
          <w:numId w:val="19"/>
        </w:numPr>
        <w:jc w:val="both"/>
        <w:textAlignment w:val="auto"/>
        <w:rPr>
          <w:color w:val="auto"/>
        </w:rPr>
      </w:pPr>
      <w:r>
        <w:rPr>
          <w:color w:val="auto"/>
        </w:rPr>
        <w:t>GOOD HEALTH AND WELL-BEING (</w:t>
      </w:r>
      <w:r w:rsidR="00403419">
        <w:rPr>
          <w:color w:val="auto"/>
        </w:rPr>
        <w:t>FOOD TECHNOLOGY</w:t>
      </w:r>
      <w:r>
        <w:rPr>
          <w:color w:val="auto"/>
        </w:rPr>
        <w:t>)</w:t>
      </w:r>
      <w:r w:rsidR="00403419">
        <w:rPr>
          <w:color w:val="auto"/>
        </w:rPr>
        <w:t xml:space="preserve">: </w:t>
      </w:r>
      <w:r w:rsidR="00905807">
        <w:rPr>
          <w:color w:val="auto"/>
        </w:rPr>
        <w:t>Commitment to new brands which challenge traditional food brands and</w:t>
      </w:r>
      <w:r w:rsidR="005D58D5">
        <w:rPr>
          <w:color w:val="auto"/>
        </w:rPr>
        <w:t xml:space="preserve"> brands which promote </w:t>
      </w:r>
      <w:r w:rsidR="00BF6B77">
        <w:rPr>
          <w:color w:val="auto"/>
        </w:rPr>
        <w:t>toxin-free, fair, sustainable and healthy natural FMCG (meaning fast-moving consumer goods or consumer packaged goods) challenger products</w:t>
      </w:r>
      <w:r w:rsidR="009127C1">
        <w:rPr>
          <w:color w:val="auto"/>
        </w:rPr>
        <w:t xml:space="preserve">. </w:t>
      </w:r>
    </w:p>
    <w:p w14:paraId="3B42C615" w14:textId="61219CE3" w:rsidR="002939B7" w:rsidRDefault="002939B7" w:rsidP="002939B7">
      <w:pPr>
        <w:pStyle w:val="GIBodyBullets1"/>
        <w:numPr>
          <w:ilvl w:val="0"/>
          <w:numId w:val="19"/>
        </w:numPr>
        <w:jc w:val="both"/>
        <w:textAlignment w:val="auto"/>
        <w:rPr>
          <w:color w:val="auto"/>
        </w:rPr>
      </w:pPr>
      <w:r>
        <w:rPr>
          <w:rFonts w:ascii="Futura MdCn BT" w:eastAsia="Cambria" w:hAnsi="Futura MdCn BT" w:cs="Arial"/>
          <w:color w:val="auto"/>
        </w:rPr>
        <w:t>PEOPLE:</w:t>
      </w:r>
      <w:r>
        <w:rPr>
          <w:rFonts w:eastAsia="Cambria" w:cs="Arial"/>
          <w:color w:val="auto"/>
        </w:rPr>
        <w:t xml:space="preserve"> </w:t>
      </w:r>
      <w:r>
        <w:rPr>
          <w:color w:val="auto"/>
        </w:rPr>
        <w:t>Commitment to champion diversity, equity, inclusion and the well-being of its people and other stakeholders.</w:t>
      </w:r>
    </w:p>
    <w:p w14:paraId="618CACFE" w14:textId="6AF7B156" w:rsidR="00D06181" w:rsidRDefault="00D06181" w:rsidP="002939B7">
      <w:pPr>
        <w:pStyle w:val="GIBodyBullets1"/>
        <w:numPr>
          <w:ilvl w:val="0"/>
          <w:numId w:val="19"/>
        </w:numPr>
        <w:jc w:val="both"/>
        <w:textAlignment w:val="auto"/>
        <w:rPr>
          <w:color w:val="auto"/>
        </w:rPr>
      </w:pPr>
      <w:r>
        <w:rPr>
          <w:color w:val="auto"/>
        </w:rPr>
        <w:t>LIFE ON LAND</w:t>
      </w:r>
      <w:r w:rsidR="001B19DA">
        <w:rPr>
          <w:color w:val="auto"/>
        </w:rPr>
        <w:t xml:space="preserve"> (ANIMAL WELFARE): </w:t>
      </w:r>
      <w:r w:rsidR="00D5328A">
        <w:rPr>
          <w:color w:val="auto"/>
        </w:rPr>
        <w:t>Commitment to post-consumption models which reduce plastic and food waste, which in turn support</w:t>
      </w:r>
      <w:r w:rsidR="00BE5AE6">
        <w:rPr>
          <w:color w:val="auto"/>
        </w:rPr>
        <w:t>s</w:t>
      </w:r>
      <w:r w:rsidR="00D5328A">
        <w:rPr>
          <w:color w:val="auto"/>
        </w:rPr>
        <w:t xml:space="preserve"> the animal welfare of other creatures.  </w:t>
      </w:r>
    </w:p>
    <w:p w14:paraId="6FA36382" w14:textId="37C1B6FE" w:rsidR="007B406E" w:rsidRDefault="007B406E" w:rsidP="002939B7">
      <w:pPr>
        <w:pStyle w:val="GIBodyBullets1"/>
        <w:numPr>
          <w:ilvl w:val="0"/>
          <w:numId w:val="0"/>
        </w:numPr>
        <w:jc w:val="both"/>
        <w:rPr>
          <w:color w:val="auto"/>
        </w:rPr>
      </w:pPr>
      <w:r w:rsidRPr="007B406E">
        <w:rPr>
          <w:color w:val="auto"/>
        </w:rPr>
        <w:t>The Fund promotes climate mitigation and adaptation (Climate) and well-being (People) as part of its ESG strategy. The Fund actively supports (Responsible Consumption and Production) the development of sustainable consumer-facing companies.</w:t>
      </w:r>
    </w:p>
    <w:p w14:paraId="463850D1" w14:textId="305DE865" w:rsidR="002630C3" w:rsidRDefault="004D70FA" w:rsidP="002939B7">
      <w:pPr>
        <w:pStyle w:val="GIBodyBullets1"/>
        <w:numPr>
          <w:ilvl w:val="0"/>
          <w:numId w:val="0"/>
        </w:numPr>
        <w:jc w:val="both"/>
        <w:rPr>
          <w:color w:val="auto"/>
        </w:rPr>
      </w:pPr>
      <w:r>
        <w:rPr>
          <w:color w:val="auto"/>
        </w:rPr>
        <w:t>T</w:t>
      </w:r>
      <w:r w:rsidR="00020FFF">
        <w:rPr>
          <w:color w:val="auto"/>
        </w:rPr>
        <w:t xml:space="preserve">hrough the Fund's commitment to the above ESG criteria, the Fund </w:t>
      </w:r>
      <w:r w:rsidR="001064E2">
        <w:rPr>
          <w:color w:val="auto"/>
        </w:rPr>
        <w:t>intends to capitalize on the</w:t>
      </w:r>
      <w:r w:rsidR="00487085">
        <w:rPr>
          <w:color w:val="auto"/>
        </w:rPr>
        <w:t xml:space="preserve"> market trends of </w:t>
      </w:r>
      <w:r w:rsidR="001064E2">
        <w:rPr>
          <w:color w:val="auto"/>
        </w:rPr>
        <w:t>(i</w:t>
      </w:r>
      <w:r w:rsidR="001064E2" w:rsidRPr="005D58D5">
        <w:rPr>
          <w:i/>
          <w:iCs/>
          <w:color w:val="auto"/>
        </w:rPr>
        <w:t xml:space="preserve">) </w:t>
      </w:r>
      <w:r w:rsidR="00020FFF">
        <w:rPr>
          <w:color w:val="auto"/>
        </w:rPr>
        <w:t xml:space="preserve">plant-based food technology, including precision fermentation and regenerative soil and ingredients; (ii) </w:t>
      </w:r>
      <w:r w:rsidR="00611CBA">
        <w:rPr>
          <w:color w:val="auto"/>
        </w:rPr>
        <w:t>sustainable food products, including microbiome, organic</w:t>
      </w:r>
      <w:r w:rsidR="00EF451D">
        <w:rPr>
          <w:color w:val="auto"/>
        </w:rPr>
        <w:t>,</w:t>
      </w:r>
      <w:r w:rsidR="00611CBA">
        <w:rPr>
          <w:color w:val="auto"/>
        </w:rPr>
        <w:t xml:space="preserve"> cruelty-free</w:t>
      </w:r>
      <w:r w:rsidR="00EF451D">
        <w:rPr>
          <w:color w:val="auto"/>
        </w:rPr>
        <w:t xml:space="preserve"> and personalized</w:t>
      </w:r>
      <w:r w:rsidR="00611CBA">
        <w:rPr>
          <w:color w:val="auto"/>
        </w:rPr>
        <w:t xml:space="preserve"> products;</w:t>
      </w:r>
      <w:r w:rsidR="00C23B27">
        <w:rPr>
          <w:color w:val="auto"/>
        </w:rPr>
        <w:t xml:space="preserve"> </w:t>
      </w:r>
      <w:r w:rsidR="00454783">
        <w:rPr>
          <w:color w:val="auto"/>
        </w:rPr>
        <w:t>(i</w:t>
      </w:r>
      <w:r w:rsidR="00C23B27">
        <w:rPr>
          <w:color w:val="auto"/>
        </w:rPr>
        <w:t>ii</w:t>
      </w:r>
      <w:r w:rsidR="00454783">
        <w:rPr>
          <w:color w:val="auto"/>
        </w:rPr>
        <w:t>) environmentally friendly suppliers and delivery methods which reduce the carbon footprint of consumer goods across the supply chain</w:t>
      </w:r>
      <w:r w:rsidR="00190B98">
        <w:rPr>
          <w:color w:val="auto"/>
        </w:rPr>
        <w:t xml:space="preserve">; and (iv) </w:t>
      </w:r>
      <w:r w:rsidR="00C07CC9">
        <w:rPr>
          <w:color w:val="auto"/>
        </w:rPr>
        <w:t xml:space="preserve">food products which update consumers' nutritional profile, taste and texture. </w:t>
      </w:r>
    </w:p>
    <w:p w14:paraId="07F5C7FB" w14:textId="3F9A2815" w:rsidR="00056513" w:rsidRPr="005476F3" w:rsidRDefault="00C374A3" w:rsidP="00350FBA">
      <w:pPr>
        <w:pStyle w:val="GIBulletXXX"/>
      </w:pPr>
      <w:r>
        <w:t xml:space="preserve">c. </w:t>
      </w:r>
      <w:r w:rsidR="00056513" w:rsidRPr="005476F3">
        <w:t>What sustainability indicators are used to measure the attainment of the environmental or social characteristics promoted by the financial product?</w:t>
      </w:r>
    </w:p>
    <w:p w14:paraId="4460D3B8" w14:textId="308920EA" w:rsidR="00F93FE3" w:rsidRDefault="0043789E" w:rsidP="00F93FE3">
      <w:pPr>
        <w:suppressLineNumbers/>
        <w:suppressAutoHyphens/>
        <w:spacing w:after="100" w:afterAutospacing="1"/>
        <w:ind w:left="0"/>
        <w:jc w:val="both"/>
      </w:pPr>
      <w:r w:rsidRPr="005476F3">
        <w:t xml:space="preserve">To assess the current performance, set ambitions for the medium- and long-term and a pathway to achieve them, </w:t>
      </w:r>
      <w:r w:rsidR="00EE336B" w:rsidRPr="005476F3">
        <w:t>the Firm</w:t>
      </w:r>
      <w:r w:rsidRPr="005476F3">
        <w:t xml:space="preserve"> </w:t>
      </w:r>
      <w:r w:rsidR="00EE336B" w:rsidRPr="005476F3">
        <w:t xml:space="preserve">has </w:t>
      </w:r>
      <w:r w:rsidRPr="005476F3">
        <w:t xml:space="preserve">developed a proprietary ESG maturity matrix. The </w:t>
      </w:r>
      <w:r w:rsidR="00EE336B" w:rsidRPr="005476F3">
        <w:t xml:space="preserve">maturity </w:t>
      </w:r>
      <w:r w:rsidRPr="005476F3">
        <w:t>matrix is aligned with PAS 7340 (principles of sustainable finance in financial services), which defines four levels of performance requirements, supported by key performance indicators appropriate for each investment strategy.</w:t>
      </w:r>
    </w:p>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9"/>
        <w:gridCol w:w="2581"/>
        <w:gridCol w:w="2581"/>
        <w:gridCol w:w="2580"/>
      </w:tblGrid>
      <w:tr w:rsidR="00F93FE3" w14:paraId="5C696F96" w14:textId="77777777" w:rsidTr="00F93FE3">
        <w:trPr>
          <w:trHeight w:val="170"/>
        </w:trPr>
        <w:tc>
          <w:tcPr>
            <w:tcW w:w="1249" w:type="pct"/>
            <w:tcBorders>
              <w:top w:val="nil"/>
              <w:left w:val="nil"/>
              <w:bottom w:val="single" w:sz="8" w:space="0" w:color="006A4D" w:themeColor="accent1"/>
              <w:right w:val="nil"/>
            </w:tcBorders>
            <w:hideMark/>
          </w:tcPr>
          <w:p w14:paraId="51A70885" w14:textId="77777777" w:rsidR="00F93FE3" w:rsidRDefault="00F93FE3">
            <w:pPr>
              <w:pStyle w:val="GITableRowHeader"/>
              <w:jc w:val="center"/>
            </w:pPr>
            <w:r>
              <w:t>LEVEL 1: Basic</w:t>
            </w:r>
          </w:p>
        </w:tc>
        <w:tc>
          <w:tcPr>
            <w:tcW w:w="1250" w:type="pct"/>
            <w:tcBorders>
              <w:top w:val="nil"/>
              <w:left w:val="nil"/>
              <w:bottom w:val="single" w:sz="8" w:space="0" w:color="006A4D" w:themeColor="accent1"/>
              <w:right w:val="nil"/>
            </w:tcBorders>
            <w:hideMark/>
          </w:tcPr>
          <w:p w14:paraId="0FFEA585" w14:textId="77777777" w:rsidR="00F93FE3" w:rsidRDefault="00F93FE3">
            <w:pPr>
              <w:pStyle w:val="GITableRowHeader"/>
              <w:jc w:val="center"/>
            </w:pPr>
            <w:r>
              <w:t>LEVEL 2: Improving</w:t>
            </w:r>
          </w:p>
        </w:tc>
        <w:tc>
          <w:tcPr>
            <w:tcW w:w="1250" w:type="pct"/>
            <w:tcBorders>
              <w:top w:val="nil"/>
              <w:left w:val="nil"/>
              <w:bottom w:val="single" w:sz="8" w:space="0" w:color="006A4D" w:themeColor="accent1"/>
              <w:right w:val="nil"/>
            </w:tcBorders>
            <w:hideMark/>
          </w:tcPr>
          <w:p w14:paraId="37209291" w14:textId="77777777" w:rsidR="00F93FE3" w:rsidRDefault="00F93FE3">
            <w:pPr>
              <w:pStyle w:val="GITableRowHeader"/>
              <w:jc w:val="center"/>
            </w:pPr>
            <w:r>
              <w:t>LEVEL 3: Engaged</w:t>
            </w:r>
          </w:p>
        </w:tc>
        <w:tc>
          <w:tcPr>
            <w:tcW w:w="1250" w:type="pct"/>
            <w:tcBorders>
              <w:top w:val="nil"/>
              <w:left w:val="nil"/>
              <w:bottom w:val="single" w:sz="8" w:space="0" w:color="006A4D" w:themeColor="accent1"/>
              <w:right w:val="nil"/>
            </w:tcBorders>
            <w:hideMark/>
          </w:tcPr>
          <w:p w14:paraId="77A3A7CE" w14:textId="77777777" w:rsidR="00F93FE3" w:rsidRDefault="00F93FE3">
            <w:pPr>
              <w:pStyle w:val="GITableRowHeader"/>
              <w:jc w:val="center"/>
            </w:pPr>
            <w:r>
              <w:t>LEVEL 4: Integrated</w:t>
            </w:r>
          </w:p>
        </w:tc>
      </w:tr>
      <w:tr w:rsidR="00F93FE3" w:rsidRPr="00F93FE3" w14:paraId="017E64E7" w14:textId="77777777" w:rsidTr="00F93FE3">
        <w:trPr>
          <w:trHeight w:val="170"/>
        </w:trPr>
        <w:tc>
          <w:tcPr>
            <w:tcW w:w="1249" w:type="pct"/>
            <w:tcBorders>
              <w:top w:val="single" w:sz="4" w:space="0" w:color="BFBFBF" w:themeColor="background1" w:themeShade="BF"/>
              <w:left w:val="nil"/>
              <w:bottom w:val="single" w:sz="4" w:space="0" w:color="006A4D" w:themeColor="accent1"/>
              <w:right w:val="nil"/>
            </w:tcBorders>
            <w:hideMark/>
          </w:tcPr>
          <w:p w14:paraId="53EAC11B" w14:textId="77777777" w:rsidR="00F93FE3" w:rsidRDefault="00F93FE3">
            <w:pPr>
              <w:pStyle w:val="GITableBody"/>
              <w:jc w:val="center"/>
              <w:rPr>
                <w:lang w:val="en-GB"/>
              </w:rPr>
            </w:pPr>
            <w:r>
              <w:rPr>
                <w:lang w:val="en-GB"/>
              </w:rPr>
              <w:t>Maintain compliance through risk mitigation and negative screening</w:t>
            </w:r>
          </w:p>
        </w:tc>
        <w:tc>
          <w:tcPr>
            <w:tcW w:w="1250" w:type="pct"/>
            <w:tcBorders>
              <w:top w:val="single" w:sz="4" w:space="0" w:color="BFBFBF" w:themeColor="background1" w:themeShade="BF"/>
              <w:left w:val="nil"/>
              <w:bottom w:val="single" w:sz="4" w:space="0" w:color="006A4D" w:themeColor="accent1"/>
              <w:right w:val="nil"/>
            </w:tcBorders>
            <w:hideMark/>
          </w:tcPr>
          <w:p w14:paraId="6FFF0D0F" w14:textId="77777777" w:rsidR="00F93FE3" w:rsidRDefault="00F93FE3">
            <w:pPr>
              <w:pStyle w:val="GITableBody"/>
              <w:jc w:val="center"/>
              <w:rPr>
                <w:lang w:val="en-GB"/>
              </w:rPr>
            </w:pPr>
            <w:r>
              <w:rPr>
                <w:lang w:val="en-GB"/>
              </w:rPr>
              <w:t>Identify materiality and market pressures, manage impact through ad-hoc implementation of common green practices</w:t>
            </w:r>
          </w:p>
        </w:tc>
        <w:tc>
          <w:tcPr>
            <w:tcW w:w="1250" w:type="pct"/>
            <w:tcBorders>
              <w:top w:val="single" w:sz="4" w:space="0" w:color="BFBFBF" w:themeColor="background1" w:themeShade="BF"/>
              <w:left w:val="nil"/>
              <w:bottom w:val="single" w:sz="4" w:space="0" w:color="006A4D" w:themeColor="accent1"/>
              <w:right w:val="nil"/>
            </w:tcBorders>
            <w:hideMark/>
          </w:tcPr>
          <w:p w14:paraId="26A4FA01" w14:textId="77777777" w:rsidR="00F93FE3" w:rsidRDefault="00F93FE3">
            <w:pPr>
              <w:pStyle w:val="GITableBody"/>
              <w:jc w:val="center"/>
              <w:rPr>
                <w:lang w:val="en-GB"/>
              </w:rPr>
            </w:pPr>
            <w:r>
              <w:rPr>
                <w:lang w:val="en-GB"/>
              </w:rPr>
              <w:t>Implement strategic approach, future proof through good sustainability practices and continual performance improvement</w:t>
            </w:r>
          </w:p>
        </w:tc>
        <w:tc>
          <w:tcPr>
            <w:tcW w:w="1250" w:type="pct"/>
            <w:tcBorders>
              <w:top w:val="single" w:sz="4" w:space="0" w:color="BFBFBF" w:themeColor="background1" w:themeShade="BF"/>
              <w:left w:val="nil"/>
              <w:bottom w:val="single" w:sz="4" w:space="0" w:color="006A4D" w:themeColor="accent1"/>
              <w:right w:val="nil"/>
            </w:tcBorders>
            <w:hideMark/>
          </w:tcPr>
          <w:p w14:paraId="2217AE17" w14:textId="77777777" w:rsidR="00F93FE3" w:rsidRDefault="00F93FE3">
            <w:pPr>
              <w:pStyle w:val="GITableBody"/>
              <w:jc w:val="center"/>
              <w:rPr>
                <w:lang w:val="en-GB"/>
              </w:rPr>
            </w:pPr>
            <w:r>
              <w:rPr>
                <w:lang w:val="en-GB"/>
              </w:rPr>
              <w:t xml:space="preserve">Implement exemplary practices, setting ambitious </w:t>
            </w:r>
            <w:r>
              <w:rPr>
                <w:lang w:val="en-GB"/>
              </w:rPr>
              <w:br/>
              <w:t>targets and achieving significant positive impact</w:t>
            </w:r>
          </w:p>
        </w:tc>
      </w:tr>
    </w:tbl>
    <w:p w14:paraId="3D7AB59C" w14:textId="2182F1CA" w:rsidR="00233959" w:rsidRDefault="00F93FE3" w:rsidP="00F36870">
      <w:pPr>
        <w:suppressAutoHyphens/>
        <w:ind w:left="0"/>
      </w:pPr>
      <w:r w:rsidRPr="005476F3">
        <w:t xml:space="preserve"> </w:t>
      </w:r>
      <w:r w:rsidR="0025311E" w:rsidRPr="005476F3">
        <w:t xml:space="preserve">The Fund’s </w:t>
      </w:r>
      <w:r w:rsidR="00F36870" w:rsidRPr="005476F3">
        <w:t xml:space="preserve">ESG strategy objective is to achieve the “Integrated” ESG performance </w:t>
      </w:r>
      <w:r w:rsidR="00D04670" w:rsidRPr="005476F3">
        <w:t>as below:</w:t>
      </w:r>
    </w:p>
    <w:tbl>
      <w:tblPr>
        <w:tblW w:w="5000" w:type="pct"/>
        <w:tblCellMar>
          <w:left w:w="0" w:type="dxa"/>
          <w:right w:w="0" w:type="dxa"/>
        </w:tblCellMar>
        <w:tblLook w:val="0600" w:firstRow="0" w:lastRow="0" w:firstColumn="0" w:lastColumn="0" w:noHBand="1" w:noVBand="1"/>
      </w:tblPr>
      <w:tblGrid>
        <w:gridCol w:w="1896"/>
        <w:gridCol w:w="1622"/>
        <w:gridCol w:w="1063"/>
        <w:gridCol w:w="1159"/>
        <w:gridCol w:w="966"/>
        <w:gridCol w:w="1214"/>
        <w:gridCol w:w="2401"/>
      </w:tblGrid>
      <w:tr w:rsidR="00450E69" w14:paraId="7ED9CF3A" w14:textId="77777777" w:rsidTr="00B75C5F">
        <w:trPr>
          <w:trHeight w:val="18"/>
        </w:trPr>
        <w:tc>
          <w:tcPr>
            <w:tcW w:w="918" w:type="pct"/>
            <w:tcBorders>
              <w:top w:val="nil"/>
              <w:left w:val="nil"/>
              <w:bottom w:val="single" w:sz="4" w:space="0" w:color="006A4D" w:themeColor="accent1"/>
              <w:right w:val="nil"/>
            </w:tcBorders>
            <w:tcMar>
              <w:top w:w="57" w:type="dxa"/>
              <w:left w:w="113" w:type="dxa"/>
              <w:bottom w:w="57" w:type="dxa"/>
              <w:right w:w="113" w:type="dxa"/>
            </w:tcMar>
            <w:vAlign w:val="center"/>
            <w:hideMark/>
          </w:tcPr>
          <w:p w14:paraId="32743FC7" w14:textId="77777777" w:rsidR="00450E69" w:rsidRDefault="00450E69">
            <w:pPr>
              <w:pStyle w:val="GITableRowHeader"/>
            </w:pPr>
            <w:r>
              <w:t>Metric</w:t>
            </w:r>
          </w:p>
        </w:tc>
        <w:tc>
          <w:tcPr>
            <w:tcW w:w="786" w:type="pct"/>
            <w:tcBorders>
              <w:top w:val="nil"/>
              <w:left w:val="nil"/>
              <w:bottom w:val="single" w:sz="4" w:space="0" w:color="006A4D" w:themeColor="accent1"/>
              <w:right w:val="nil"/>
            </w:tcBorders>
            <w:tcMar>
              <w:top w:w="57" w:type="dxa"/>
              <w:left w:w="113" w:type="dxa"/>
              <w:bottom w:w="57" w:type="dxa"/>
              <w:right w:w="113" w:type="dxa"/>
            </w:tcMar>
            <w:vAlign w:val="center"/>
            <w:hideMark/>
          </w:tcPr>
          <w:p w14:paraId="30BF8D43" w14:textId="77777777" w:rsidR="00450E69" w:rsidRDefault="00450E69">
            <w:pPr>
              <w:pStyle w:val="GITableRowHeader"/>
              <w:jc w:val="center"/>
            </w:pPr>
            <w:r>
              <w:t>Climate</w:t>
            </w:r>
          </w:p>
        </w:tc>
        <w:tc>
          <w:tcPr>
            <w:tcW w:w="515" w:type="pct"/>
            <w:tcBorders>
              <w:top w:val="nil"/>
              <w:left w:val="nil"/>
              <w:bottom w:val="single" w:sz="4" w:space="0" w:color="006A4D" w:themeColor="accent1"/>
              <w:right w:val="nil"/>
            </w:tcBorders>
          </w:tcPr>
          <w:p w14:paraId="6544DB09" w14:textId="6CA5A212" w:rsidR="00450E69" w:rsidRDefault="00974104">
            <w:pPr>
              <w:pStyle w:val="GITableRowHeader"/>
              <w:jc w:val="center"/>
            </w:pPr>
            <w:r>
              <w:t>Responsible Consumption</w:t>
            </w:r>
          </w:p>
        </w:tc>
        <w:tc>
          <w:tcPr>
            <w:tcW w:w="561" w:type="pct"/>
            <w:tcBorders>
              <w:top w:val="nil"/>
              <w:left w:val="nil"/>
              <w:bottom w:val="single" w:sz="4" w:space="0" w:color="006A4D" w:themeColor="accent1"/>
              <w:right w:val="nil"/>
            </w:tcBorders>
            <w:tcMar>
              <w:top w:w="57" w:type="dxa"/>
              <w:left w:w="113" w:type="dxa"/>
              <w:bottom w:w="57" w:type="dxa"/>
              <w:right w:w="113" w:type="dxa"/>
            </w:tcMar>
            <w:vAlign w:val="center"/>
            <w:hideMark/>
          </w:tcPr>
          <w:p w14:paraId="3F9B0042" w14:textId="5D6FD7E5" w:rsidR="00450E69" w:rsidRDefault="00983F86">
            <w:pPr>
              <w:pStyle w:val="GITableRowHeader"/>
              <w:jc w:val="center"/>
            </w:pPr>
            <w:r>
              <w:t>Food Technology</w:t>
            </w:r>
          </w:p>
        </w:tc>
        <w:tc>
          <w:tcPr>
            <w:tcW w:w="468" w:type="pct"/>
            <w:tcBorders>
              <w:top w:val="nil"/>
              <w:left w:val="nil"/>
              <w:bottom w:val="single" w:sz="4" w:space="0" w:color="006A4D" w:themeColor="accent1"/>
              <w:right w:val="nil"/>
            </w:tcBorders>
          </w:tcPr>
          <w:p w14:paraId="4F877244" w14:textId="27749B05" w:rsidR="00450E69" w:rsidRDefault="00983F86">
            <w:pPr>
              <w:pStyle w:val="GITableRowHeader"/>
              <w:jc w:val="center"/>
            </w:pPr>
            <w:r>
              <w:t>People</w:t>
            </w:r>
          </w:p>
        </w:tc>
        <w:tc>
          <w:tcPr>
            <w:tcW w:w="588" w:type="pct"/>
            <w:tcBorders>
              <w:top w:val="nil"/>
              <w:left w:val="nil"/>
              <w:bottom w:val="single" w:sz="4" w:space="0" w:color="006A4D" w:themeColor="accent1"/>
              <w:right w:val="nil"/>
            </w:tcBorders>
            <w:tcMar>
              <w:top w:w="57" w:type="dxa"/>
              <w:left w:w="113" w:type="dxa"/>
              <w:bottom w:w="57" w:type="dxa"/>
              <w:right w:w="113" w:type="dxa"/>
            </w:tcMar>
            <w:vAlign w:val="center"/>
            <w:hideMark/>
          </w:tcPr>
          <w:p w14:paraId="3865B14E" w14:textId="14F0E661" w:rsidR="00450E69" w:rsidRDefault="00983F86">
            <w:pPr>
              <w:pStyle w:val="GITableRowHeader"/>
              <w:jc w:val="center"/>
            </w:pPr>
            <w:r>
              <w:t>Animal Welfare</w:t>
            </w:r>
          </w:p>
        </w:tc>
        <w:tc>
          <w:tcPr>
            <w:tcW w:w="1163" w:type="pct"/>
            <w:tcBorders>
              <w:top w:val="nil"/>
              <w:left w:val="nil"/>
              <w:bottom w:val="single" w:sz="4" w:space="0" w:color="006A4D" w:themeColor="accent1"/>
              <w:right w:val="nil"/>
            </w:tcBorders>
            <w:tcMar>
              <w:top w:w="57" w:type="dxa"/>
              <w:left w:w="113" w:type="dxa"/>
              <w:bottom w:w="57" w:type="dxa"/>
              <w:right w:w="113" w:type="dxa"/>
            </w:tcMar>
            <w:vAlign w:val="center"/>
            <w:hideMark/>
          </w:tcPr>
          <w:p w14:paraId="304FC232" w14:textId="56CDCE03" w:rsidR="00450E69" w:rsidRDefault="00450E69">
            <w:pPr>
              <w:pStyle w:val="GITableRowHeader"/>
              <w:jc w:val="center"/>
            </w:pPr>
            <w:r>
              <w:t xml:space="preserve">Integrated performance </w:t>
            </w:r>
          </w:p>
        </w:tc>
      </w:tr>
      <w:tr w:rsidR="00450E69" w14:paraId="3051E44C" w14:textId="77777777" w:rsidTr="00B75C5F">
        <w:trPr>
          <w:trHeight w:val="18"/>
        </w:trPr>
        <w:tc>
          <w:tcPr>
            <w:tcW w:w="918" w:type="pct"/>
            <w:tcBorders>
              <w:top w:val="single" w:sz="4" w:space="0" w:color="006A4D" w:themeColor="accent1"/>
              <w:left w:val="nil"/>
              <w:bottom w:val="single" w:sz="4" w:space="0" w:color="BFBFBF"/>
              <w:right w:val="nil"/>
            </w:tcBorders>
            <w:tcMar>
              <w:top w:w="57" w:type="dxa"/>
              <w:left w:w="113" w:type="dxa"/>
              <w:bottom w:w="57" w:type="dxa"/>
              <w:right w:w="113" w:type="dxa"/>
            </w:tcMar>
            <w:vAlign w:val="center"/>
            <w:hideMark/>
          </w:tcPr>
          <w:p w14:paraId="04EFE6D3" w14:textId="64F021A7" w:rsidR="00450E69" w:rsidRPr="00B75C5F" w:rsidRDefault="00450E69" w:rsidP="00B75C5F">
            <w:pPr>
              <w:autoSpaceDE w:val="0"/>
              <w:autoSpaceDN w:val="0"/>
              <w:adjustRightInd w:val="0"/>
              <w:spacing w:before="0" w:after="0"/>
              <w:ind w:left="0"/>
              <w:jc w:val="both"/>
              <w:rPr>
                <w:rFonts w:ascii="Futura Bk BT" w:hAnsi="Futura Bk BT" w:cs="Futura Bk BT"/>
                <w:color w:val="000000"/>
                <w:sz w:val="18"/>
                <w:szCs w:val="18"/>
              </w:rPr>
            </w:pPr>
            <w:r w:rsidRPr="00757F1F">
              <w:rPr>
                <w:rFonts w:ascii="Futura Bk BT" w:hAnsi="Futura Bk BT" w:cs="Futura Bk BT"/>
                <w:color w:val="000000"/>
                <w:sz w:val="18"/>
                <w:szCs w:val="18"/>
              </w:rPr>
              <w:t xml:space="preserve">% of </w:t>
            </w:r>
            <w:r w:rsidR="006F4737">
              <w:rPr>
                <w:rFonts w:ascii="Futura Bk BT" w:hAnsi="Futura Bk BT" w:cs="Futura Bk BT"/>
                <w:color w:val="000000"/>
                <w:sz w:val="18"/>
                <w:szCs w:val="18"/>
              </w:rPr>
              <w:t>P</w:t>
            </w:r>
            <w:r w:rsidRPr="00757F1F">
              <w:rPr>
                <w:rFonts w:ascii="Futura Bk BT" w:hAnsi="Futura Bk BT" w:cs="Futura Bk BT"/>
                <w:color w:val="000000"/>
                <w:sz w:val="18"/>
                <w:szCs w:val="18"/>
              </w:rPr>
              <w:t xml:space="preserve">ortfolio </w:t>
            </w:r>
            <w:r w:rsidR="006F4737">
              <w:rPr>
                <w:rFonts w:ascii="Futura Bk BT" w:hAnsi="Futura Bk BT" w:cs="Futura Bk BT"/>
                <w:color w:val="000000"/>
                <w:sz w:val="18"/>
                <w:szCs w:val="18"/>
              </w:rPr>
              <w:t>C</w:t>
            </w:r>
            <w:r w:rsidRPr="00757F1F">
              <w:rPr>
                <w:rFonts w:ascii="Futura Bk BT" w:hAnsi="Futura Bk BT" w:cs="Futura Bk BT"/>
                <w:color w:val="000000"/>
                <w:sz w:val="18"/>
                <w:szCs w:val="18"/>
              </w:rPr>
              <w:t xml:space="preserve">ompanies </w:t>
            </w:r>
            <w:r>
              <w:rPr>
                <w:rFonts w:ascii="Futura Bk BT" w:hAnsi="Futura Bk BT" w:cs="Futura Bk BT"/>
                <w:color w:val="000000"/>
                <w:sz w:val="18"/>
                <w:szCs w:val="18"/>
              </w:rPr>
              <w:t>which have incorporated ESG into board governance framework</w:t>
            </w:r>
            <w:r w:rsidRPr="00757F1F">
              <w:rPr>
                <w:rFonts w:ascii="Futura Bk BT" w:hAnsi="Futura Bk BT" w:cs="Futura Bk BT"/>
                <w:color w:val="000000"/>
                <w:sz w:val="18"/>
                <w:szCs w:val="18"/>
              </w:rPr>
              <w:t xml:space="preserve"> </w:t>
            </w:r>
          </w:p>
        </w:tc>
        <w:tc>
          <w:tcPr>
            <w:tcW w:w="786" w:type="pct"/>
            <w:tcBorders>
              <w:top w:val="single" w:sz="4" w:space="0" w:color="006A4D" w:themeColor="accent1"/>
              <w:left w:val="nil"/>
              <w:bottom w:val="single" w:sz="4" w:space="0" w:color="BFBFBF"/>
              <w:right w:val="nil"/>
            </w:tcBorders>
            <w:tcMar>
              <w:top w:w="57" w:type="dxa"/>
              <w:left w:w="113" w:type="dxa"/>
              <w:bottom w:w="57" w:type="dxa"/>
              <w:right w:w="113" w:type="dxa"/>
            </w:tcMar>
            <w:vAlign w:val="center"/>
            <w:hideMark/>
          </w:tcPr>
          <w:p w14:paraId="0276DEC9" w14:textId="77777777" w:rsidR="00450E69" w:rsidRPr="00EF7964" w:rsidRDefault="00450E69" w:rsidP="00B75C5F">
            <w:pPr>
              <w:pStyle w:val="GITableBody"/>
              <w:spacing w:line="276" w:lineRule="auto"/>
              <w:jc w:val="center"/>
              <w:rPr>
                <w:sz w:val="19"/>
                <w:szCs w:val="19"/>
              </w:rPr>
            </w:pPr>
            <w:r w:rsidRPr="00EF7964">
              <w:rPr>
                <w:sz w:val="19"/>
                <w:szCs w:val="19"/>
              </w:rPr>
              <w:t>x</w:t>
            </w:r>
          </w:p>
        </w:tc>
        <w:tc>
          <w:tcPr>
            <w:tcW w:w="515" w:type="pct"/>
            <w:tcBorders>
              <w:top w:val="single" w:sz="4" w:space="0" w:color="006A4D" w:themeColor="accent1"/>
              <w:left w:val="nil"/>
              <w:bottom w:val="single" w:sz="4" w:space="0" w:color="BFBFBF"/>
              <w:right w:val="nil"/>
            </w:tcBorders>
            <w:vAlign w:val="center"/>
          </w:tcPr>
          <w:p w14:paraId="4A78E799" w14:textId="6D673D63" w:rsidR="00450E69" w:rsidRDefault="00974104" w:rsidP="00B75C5F">
            <w:pPr>
              <w:ind w:left="0"/>
              <w:jc w:val="center"/>
            </w:pPr>
            <w:r>
              <w:t>x</w:t>
            </w:r>
          </w:p>
        </w:tc>
        <w:tc>
          <w:tcPr>
            <w:tcW w:w="561" w:type="pct"/>
            <w:tcBorders>
              <w:top w:val="single" w:sz="4" w:space="0" w:color="006A4D" w:themeColor="accent1"/>
              <w:left w:val="nil"/>
              <w:bottom w:val="single" w:sz="4" w:space="0" w:color="BFBFBF"/>
              <w:right w:val="nil"/>
            </w:tcBorders>
            <w:tcMar>
              <w:top w:w="57" w:type="dxa"/>
              <w:left w:w="113" w:type="dxa"/>
              <w:bottom w:w="57" w:type="dxa"/>
              <w:right w:w="113" w:type="dxa"/>
            </w:tcMar>
            <w:vAlign w:val="center"/>
            <w:hideMark/>
          </w:tcPr>
          <w:p w14:paraId="254D65FD" w14:textId="2CAB01B7" w:rsidR="00450E69" w:rsidRDefault="008639FB" w:rsidP="00B75C5F">
            <w:pPr>
              <w:ind w:left="0"/>
              <w:jc w:val="center"/>
            </w:pPr>
            <w:r>
              <w:t>x</w:t>
            </w:r>
          </w:p>
        </w:tc>
        <w:tc>
          <w:tcPr>
            <w:tcW w:w="468" w:type="pct"/>
            <w:tcBorders>
              <w:top w:val="single" w:sz="4" w:space="0" w:color="006A4D" w:themeColor="accent1"/>
              <w:left w:val="nil"/>
              <w:bottom w:val="single" w:sz="4" w:space="0" w:color="BFBFBF"/>
              <w:right w:val="nil"/>
            </w:tcBorders>
            <w:vAlign w:val="center"/>
          </w:tcPr>
          <w:p w14:paraId="5E9B31DA" w14:textId="7FB7E039" w:rsidR="008639FB" w:rsidRDefault="008639FB" w:rsidP="00B75C5F">
            <w:pPr>
              <w:spacing w:before="0" w:after="0" w:line="276" w:lineRule="auto"/>
              <w:ind w:left="0"/>
              <w:jc w:val="center"/>
            </w:pPr>
            <w:r>
              <w:t>x</w:t>
            </w:r>
          </w:p>
        </w:tc>
        <w:tc>
          <w:tcPr>
            <w:tcW w:w="588" w:type="pct"/>
            <w:tcBorders>
              <w:top w:val="single" w:sz="4" w:space="0" w:color="006A4D" w:themeColor="accent1"/>
              <w:left w:val="nil"/>
              <w:bottom w:val="single" w:sz="4" w:space="0" w:color="BFBFBF"/>
              <w:right w:val="nil"/>
            </w:tcBorders>
            <w:tcMar>
              <w:top w:w="57" w:type="dxa"/>
              <w:left w:w="113" w:type="dxa"/>
              <w:bottom w:w="57" w:type="dxa"/>
              <w:right w:w="113" w:type="dxa"/>
            </w:tcMar>
            <w:vAlign w:val="center"/>
            <w:hideMark/>
          </w:tcPr>
          <w:p w14:paraId="254E71C2" w14:textId="4C21D88D" w:rsidR="00450E69" w:rsidRDefault="008639FB" w:rsidP="00B75C5F">
            <w:pPr>
              <w:spacing w:before="0" w:after="0" w:line="276" w:lineRule="auto"/>
              <w:ind w:left="0"/>
              <w:jc w:val="center"/>
              <w:rPr>
                <w:sz w:val="20"/>
                <w:szCs w:val="20"/>
                <w:lang w:val="de-DE" w:eastAsia="de-DE"/>
              </w:rPr>
            </w:pPr>
            <w:r>
              <w:t>x</w:t>
            </w:r>
          </w:p>
        </w:tc>
        <w:tc>
          <w:tcPr>
            <w:tcW w:w="1163" w:type="pct"/>
            <w:tcBorders>
              <w:top w:val="single" w:sz="4" w:space="0" w:color="006A4D" w:themeColor="accent1"/>
              <w:left w:val="nil"/>
              <w:bottom w:val="single" w:sz="4" w:space="0" w:color="BFBFBF"/>
              <w:right w:val="nil"/>
            </w:tcBorders>
            <w:tcMar>
              <w:top w:w="57" w:type="dxa"/>
              <w:left w:w="113" w:type="dxa"/>
              <w:bottom w:w="57" w:type="dxa"/>
              <w:right w:w="113" w:type="dxa"/>
            </w:tcMar>
            <w:vAlign w:val="center"/>
            <w:hideMark/>
          </w:tcPr>
          <w:p w14:paraId="4D6ED799" w14:textId="50975EB1" w:rsidR="00450E69" w:rsidRDefault="00450E69" w:rsidP="00B75C5F">
            <w:pPr>
              <w:pStyle w:val="GITableBody"/>
              <w:spacing w:line="276" w:lineRule="auto"/>
              <w:jc w:val="center"/>
            </w:pPr>
            <w:r>
              <w:t>100%</w:t>
            </w:r>
          </w:p>
        </w:tc>
      </w:tr>
      <w:tr w:rsidR="00450E69" w14:paraId="22ECA8A8" w14:textId="77777777" w:rsidTr="00B75C5F">
        <w:trPr>
          <w:trHeight w:val="18"/>
        </w:trPr>
        <w:tc>
          <w:tcPr>
            <w:tcW w:w="918" w:type="pct"/>
            <w:tcBorders>
              <w:top w:val="single" w:sz="4" w:space="0" w:color="BFBFBF"/>
              <w:left w:val="nil"/>
              <w:bottom w:val="single" w:sz="4" w:space="0" w:color="BFBFBF"/>
              <w:right w:val="nil"/>
            </w:tcBorders>
            <w:tcMar>
              <w:top w:w="57" w:type="dxa"/>
              <w:left w:w="113" w:type="dxa"/>
              <w:bottom w:w="57" w:type="dxa"/>
              <w:right w:w="113" w:type="dxa"/>
            </w:tcMar>
            <w:vAlign w:val="center"/>
            <w:hideMark/>
          </w:tcPr>
          <w:p w14:paraId="50AFF7AC" w14:textId="45507DC6" w:rsidR="00450E69" w:rsidRDefault="00450E69">
            <w:pPr>
              <w:pStyle w:val="GITableBody"/>
              <w:spacing w:line="276" w:lineRule="auto"/>
            </w:pPr>
            <w:r w:rsidRPr="00757F1F">
              <w:lastRenderedPageBreak/>
              <w:t xml:space="preserve">% of </w:t>
            </w:r>
            <w:r w:rsidR="006F4737">
              <w:t>P</w:t>
            </w:r>
            <w:r w:rsidRPr="00757F1F">
              <w:t xml:space="preserve">ortfolio </w:t>
            </w:r>
            <w:r w:rsidR="006F4737">
              <w:t>C</w:t>
            </w:r>
            <w:r w:rsidRPr="00757F1F">
              <w:t xml:space="preserve">ompanies </w:t>
            </w:r>
            <w:r>
              <w:t>that employ an ESG Compliance Officer or similar officer</w:t>
            </w:r>
          </w:p>
        </w:tc>
        <w:tc>
          <w:tcPr>
            <w:tcW w:w="786" w:type="pct"/>
            <w:tcBorders>
              <w:top w:val="single" w:sz="4" w:space="0" w:color="BFBFBF"/>
              <w:left w:val="nil"/>
              <w:bottom w:val="single" w:sz="4" w:space="0" w:color="BFBFBF"/>
              <w:right w:val="nil"/>
            </w:tcBorders>
            <w:tcMar>
              <w:top w:w="57" w:type="dxa"/>
              <w:left w:w="113" w:type="dxa"/>
              <w:bottom w:w="57" w:type="dxa"/>
              <w:right w:w="113" w:type="dxa"/>
            </w:tcMar>
            <w:vAlign w:val="center"/>
            <w:hideMark/>
          </w:tcPr>
          <w:p w14:paraId="09BD66F1" w14:textId="77777777" w:rsidR="00450E69" w:rsidRPr="006433D1" w:rsidRDefault="00450E69" w:rsidP="00B75C5F">
            <w:pPr>
              <w:pStyle w:val="GITableBody"/>
              <w:spacing w:line="276" w:lineRule="auto"/>
              <w:jc w:val="center"/>
              <w:rPr>
                <w:sz w:val="19"/>
                <w:szCs w:val="19"/>
              </w:rPr>
            </w:pPr>
            <w:r w:rsidRPr="006433D1">
              <w:rPr>
                <w:sz w:val="19"/>
                <w:szCs w:val="19"/>
              </w:rPr>
              <w:t>x</w:t>
            </w:r>
          </w:p>
        </w:tc>
        <w:tc>
          <w:tcPr>
            <w:tcW w:w="515" w:type="pct"/>
            <w:tcBorders>
              <w:top w:val="single" w:sz="4" w:space="0" w:color="BFBFBF"/>
              <w:left w:val="nil"/>
              <w:bottom w:val="single" w:sz="4" w:space="0" w:color="BFBFBF"/>
              <w:right w:val="nil"/>
            </w:tcBorders>
            <w:vAlign w:val="center"/>
          </w:tcPr>
          <w:p w14:paraId="5E0FC905" w14:textId="497D7E27" w:rsidR="00450E69" w:rsidRPr="006433D1" w:rsidRDefault="00974104" w:rsidP="00B75C5F">
            <w:pPr>
              <w:ind w:left="0"/>
              <w:jc w:val="center"/>
            </w:pPr>
            <w:r w:rsidRPr="006433D1">
              <w:t>x</w:t>
            </w:r>
          </w:p>
        </w:tc>
        <w:tc>
          <w:tcPr>
            <w:tcW w:w="561" w:type="pct"/>
            <w:tcBorders>
              <w:top w:val="single" w:sz="4" w:space="0" w:color="BFBFBF"/>
              <w:left w:val="nil"/>
              <w:bottom w:val="single" w:sz="4" w:space="0" w:color="BFBFBF"/>
              <w:right w:val="nil"/>
            </w:tcBorders>
            <w:tcMar>
              <w:top w:w="57" w:type="dxa"/>
              <w:left w:w="113" w:type="dxa"/>
              <w:bottom w:w="57" w:type="dxa"/>
              <w:right w:w="113" w:type="dxa"/>
            </w:tcMar>
            <w:vAlign w:val="center"/>
            <w:hideMark/>
          </w:tcPr>
          <w:p w14:paraId="4222DCC7" w14:textId="6E5D6B57" w:rsidR="00450E69" w:rsidRPr="006433D1" w:rsidRDefault="00450E69" w:rsidP="00B75C5F">
            <w:pPr>
              <w:ind w:left="0"/>
              <w:jc w:val="center"/>
            </w:pPr>
            <w:r w:rsidRPr="006433D1">
              <w:t>x</w:t>
            </w:r>
          </w:p>
        </w:tc>
        <w:tc>
          <w:tcPr>
            <w:tcW w:w="468" w:type="pct"/>
            <w:tcBorders>
              <w:top w:val="single" w:sz="4" w:space="0" w:color="BFBFBF"/>
              <w:left w:val="nil"/>
              <w:bottom w:val="single" w:sz="4" w:space="0" w:color="BFBFBF"/>
              <w:right w:val="nil"/>
            </w:tcBorders>
            <w:vAlign w:val="center"/>
          </w:tcPr>
          <w:p w14:paraId="2AEB0070" w14:textId="1D349691" w:rsidR="00450E69" w:rsidRPr="006433D1" w:rsidRDefault="00983F86" w:rsidP="00B75C5F">
            <w:pPr>
              <w:pStyle w:val="GITableBody"/>
              <w:spacing w:line="276" w:lineRule="auto"/>
              <w:jc w:val="center"/>
              <w:rPr>
                <w:sz w:val="19"/>
                <w:szCs w:val="19"/>
              </w:rPr>
            </w:pPr>
            <w:r w:rsidRPr="006433D1">
              <w:rPr>
                <w:sz w:val="19"/>
                <w:szCs w:val="19"/>
              </w:rPr>
              <w:t>x</w:t>
            </w:r>
          </w:p>
        </w:tc>
        <w:tc>
          <w:tcPr>
            <w:tcW w:w="588" w:type="pct"/>
            <w:tcBorders>
              <w:top w:val="single" w:sz="4" w:space="0" w:color="BFBFBF"/>
              <w:left w:val="nil"/>
              <w:bottom w:val="single" w:sz="4" w:space="0" w:color="BFBFBF"/>
              <w:right w:val="nil"/>
            </w:tcBorders>
            <w:tcMar>
              <w:top w:w="57" w:type="dxa"/>
              <w:left w:w="113" w:type="dxa"/>
              <w:bottom w:w="57" w:type="dxa"/>
              <w:right w:w="113" w:type="dxa"/>
            </w:tcMar>
            <w:vAlign w:val="center"/>
            <w:hideMark/>
          </w:tcPr>
          <w:p w14:paraId="4E7CA518" w14:textId="7FCFFA18" w:rsidR="00450E69" w:rsidRDefault="00EF7964" w:rsidP="00B75C5F">
            <w:pPr>
              <w:pStyle w:val="GITableBody"/>
              <w:spacing w:line="276" w:lineRule="auto"/>
              <w:jc w:val="center"/>
            </w:pPr>
            <w:r>
              <w:t>x</w:t>
            </w:r>
          </w:p>
        </w:tc>
        <w:tc>
          <w:tcPr>
            <w:tcW w:w="1163" w:type="pct"/>
            <w:tcBorders>
              <w:top w:val="single" w:sz="4" w:space="0" w:color="BFBFBF"/>
              <w:left w:val="nil"/>
              <w:bottom w:val="single" w:sz="4" w:space="0" w:color="BFBFBF"/>
              <w:right w:val="nil"/>
            </w:tcBorders>
            <w:tcMar>
              <w:top w:w="57" w:type="dxa"/>
              <w:left w:w="113" w:type="dxa"/>
              <w:bottom w:w="57" w:type="dxa"/>
              <w:right w:w="113" w:type="dxa"/>
            </w:tcMar>
            <w:vAlign w:val="center"/>
            <w:hideMark/>
          </w:tcPr>
          <w:p w14:paraId="1ED66BA7" w14:textId="77777777" w:rsidR="00450E69" w:rsidRDefault="00450E69" w:rsidP="00B75C5F">
            <w:pPr>
              <w:pStyle w:val="GITableBody"/>
              <w:spacing w:line="276" w:lineRule="auto"/>
              <w:jc w:val="center"/>
            </w:pPr>
            <w:r>
              <w:t>100%</w:t>
            </w:r>
          </w:p>
        </w:tc>
      </w:tr>
      <w:tr w:rsidR="00450E69" w:rsidRPr="00757F1F" w14:paraId="54F357C8" w14:textId="77777777" w:rsidTr="00B75C5F">
        <w:trPr>
          <w:trHeight w:val="18"/>
        </w:trPr>
        <w:tc>
          <w:tcPr>
            <w:tcW w:w="918" w:type="pct"/>
            <w:tcBorders>
              <w:top w:val="single" w:sz="4" w:space="0" w:color="BFBFBF"/>
              <w:left w:val="nil"/>
              <w:bottom w:val="single" w:sz="4" w:space="0" w:color="BFBFBF"/>
              <w:right w:val="nil"/>
            </w:tcBorders>
            <w:tcMar>
              <w:top w:w="57" w:type="dxa"/>
              <w:left w:w="113" w:type="dxa"/>
              <w:bottom w:w="57" w:type="dxa"/>
              <w:right w:w="113" w:type="dxa"/>
            </w:tcMar>
            <w:vAlign w:val="center"/>
          </w:tcPr>
          <w:p w14:paraId="07123864" w14:textId="30A51CE5" w:rsidR="00450E69" w:rsidRPr="00757F1F" w:rsidRDefault="00450E69">
            <w:pPr>
              <w:pStyle w:val="GITableBody"/>
              <w:spacing w:line="276" w:lineRule="auto"/>
            </w:pPr>
            <w:r w:rsidRPr="00757F1F">
              <w:t xml:space="preserve">% of </w:t>
            </w:r>
            <w:r w:rsidR="006F4737">
              <w:t>P</w:t>
            </w:r>
            <w:r w:rsidRPr="00757F1F">
              <w:t xml:space="preserve">ortfolio </w:t>
            </w:r>
            <w:r w:rsidR="006F4737">
              <w:t>C</w:t>
            </w:r>
            <w:r w:rsidRPr="00757F1F">
              <w:t xml:space="preserve">ompanies that have </w:t>
            </w:r>
            <w:r>
              <w:t>implemented ESG best practises/criteria at an enterprise level</w:t>
            </w:r>
          </w:p>
        </w:tc>
        <w:tc>
          <w:tcPr>
            <w:tcW w:w="786" w:type="pct"/>
            <w:tcBorders>
              <w:top w:val="single" w:sz="4" w:space="0" w:color="BFBFBF"/>
              <w:left w:val="nil"/>
              <w:bottom w:val="single" w:sz="4" w:space="0" w:color="BFBFBF"/>
              <w:right w:val="nil"/>
            </w:tcBorders>
            <w:tcMar>
              <w:top w:w="57" w:type="dxa"/>
              <w:left w:w="113" w:type="dxa"/>
              <w:bottom w:w="57" w:type="dxa"/>
              <w:right w:w="113" w:type="dxa"/>
            </w:tcMar>
            <w:vAlign w:val="center"/>
          </w:tcPr>
          <w:p w14:paraId="610A1703" w14:textId="1D0B4F04" w:rsidR="00450E69" w:rsidRPr="006433D1" w:rsidRDefault="00450E69" w:rsidP="00B75C5F">
            <w:pPr>
              <w:pStyle w:val="GITableBody"/>
              <w:spacing w:line="276" w:lineRule="auto"/>
              <w:jc w:val="center"/>
              <w:rPr>
                <w:sz w:val="19"/>
                <w:szCs w:val="19"/>
              </w:rPr>
            </w:pPr>
            <w:r w:rsidRPr="006433D1">
              <w:rPr>
                <w:sz w:val="19"/>
                <w:szCs w:val="19"/>
              </w:rPr>
              <w:t>x</w:t>
            </w:r>
          </w:p>
        </w:tc>
        <w:tc>
          <w:tcPr>
            <w:tcW w:w="515" w:type="pct"/>
            <w:tcBorders>
              <w:top w:val="single" w:sz="4" w:space="0" w:color="BFBFBF"/>
              <w:left w:val="nil"/>
              <w:bottom w:val="single" w:sz="4" w:space="0" w:color="BFBFBF"/>
              <w:right w:val="nil"/>
            </w:tcBorders>
            <w:vAlign w:val="center"/>
          </w:tcPr>
          <w:p w14:paraId="71702CD5" w14:textId="10EBEC42" w:rsidR="00450E69" w:rsidRPr="006433D1" w:rsidRDefault="00974104" w:rsidP="00B75C5F">
            <w:pPr>
              <w:ind w:left="0"/>
              <w:jc w:val="center"/>
            </w:pPr>
            <w:r w:rsidRPr="006433D1">
              <w:t>x</w:t>
            </w:r>
          </w:p>
        </w:tc>
        <w:tc>
          <w:tcPr>
            <w:tcW w:w="561" w:type="pct"/>
            <w:tcBorders>
              <w:top w:val="single" w:sz="4" w:space="0" w:color="BFBFBF"/>
              <w:left w:val="nil"/>
              <w:bottom w:val="single" w:sz="4" w:space="0" w:color="BFBFBF"/>
              <w:right w:val="nil"/>
            </w:tcBorders>
            <w:tcMar>
              <w:top w:w="57" w:type="dxa"/>
              <w:left w:w="113" w:type="dxa"/>
              <w:bottom w:w="57" w:type="dxa"/>
              <w:right w:w="113" w:type="dxa"/>
            </w:tcMar>
            <w:vAlign w:val="center"/>
          </w:tcPr>
          <w:p w14:paraId="5B21C141" w14:textId="45D358FF" w:rsidR="00450E69" w:rsidRPr="006433D1" w:rsidRDefault="00450E69" w:rsidP="00B75C5F">
            <w:pPr>
              <w:ind w:left="0"/>
              <w:jc w:val="center"/>
            </w:pPr>
            <w:r w:rsidRPr="006433D1">
              <w:t>x</w:t>
            </w:r>
          </w:p>
        </w:tc>
        <w:tc>
          <w:tcPr>
            <w:tcW w:w="468" w:type="pct"/>
            <w:tcBorders>
              <w:top w:val="single" w:sz="4" w:space="0" w:color="BFBFBF"/>
              <w:left w:val="nil"/>
              <w:bottom w:val="single" w:sz="4" w:space="0" w:color="BFBFBF"/>
              <w:right w:val="nil"/>
            </w:tcBorders>
            <w:vAlign w:val="center"/>
          </w:tcPr>
          <w:p w14:paraId="08DC271B" w14:textId="3A7E4DF8" w:rsidR="00450E69" w:rsidRPr="006433D1" w:rsidRDefault="00983F86" w:rsidP="00B75C5F">
            <w:pPr>
              <w:pStyle w:val="GITableBody"/>
              <w:spacing w:line="276" w:lineRule="auto"/>
              <w:jc w:val="center"/>
              <w:rPr>
                <w:sz w:val="19"/>
                <w:szCs w:val="19"/>
              </w:rPr>
            </w:pPr>
            <w:r w:rsidRPr="006433D1">
              <w:rPr>
                <w:sz w:val="19"/>
                <w:szCs w:val="19"/>
              </w:rPr>
              <w:t>x</w:t>
            </w:r>
          </w:p>
        </w:tc>
        <w:tc>
          <w:tcPr>
            <w:tcW w:w="588" w:type="pct"/>
            <w:tcBorders>
              <w:top w:val="single" w:sz="4" w:space="0" w:color="BFBFBF"/>
              <w:left w:val="nil"/>
              <w:bottom w:val="single" w:sz="4" w:space="0" w:color="BFBFBF"/>
              <w:right w:val="nil"/>
            </w:tcBorders>
            <w:tcMar>
              <w:top w:w="57" w:type="dxa"/>
              <w:left w:w="113" w:type="dxa"/>
              <w:bottom w:w="57" w:type="dxa"/>
              <w:right w:w="113" w:type="dxa"/>
            </w:tcMar>
            <w:vAlign w:val="center"/>
          </w:tcPr>
          <w:p w14:paraId="38FFBB6C" w14:textId="3E231684" w:rsidR="00450E69" w:rsidRPr="006433D1" w:rsidRDefault="006433D1" w:rsidP="00B75C5F">
            <w:pPr>
              <w:pStyle w:val="GITableBody"/>
              <w:spacing w:line="276" w:lineRule="auto"/>
              <w:jc w:val="center"/>
              <w:rPr>
                <w:sz w:val="19"/>
                <w:szCs w:val="19"/>
              </w:rPr>
            </w:pPr>
            <w:r w:rsidRPr="006433D1">
              <w:rPr>
                <w:sz w:val="19"/>
                <w:szCs w:val="19"/>
              </w:rPr>
              <w:t>x</w:t>
            </w:r>
          </w:p>
        </w:tc>
        <w:tc>
          <w:tcPr>
            <w:tcW w:w="1163" w:type="pct"/>
            <w:tcBorders>
              <w:top w:val="single" w:sz="4" w:space="0" w:color="BFBFBF"/>
              <w:left w:val="nil"/>
              <w:bottom w:val="single" w:sz="4" w:space="0" w:color="BFBFBF"/>
              <w:right w:val="nil"/>
            </w:tcBorders>
            <w:tcMar>
              <w:top w:w="57" w:type="dxa"/>
              <w:left w:w="113" w:type="dxa"/>
              <w:bottom w:w="57" w:type="dxa"/>
              <w:right w:w="113" w:type="dxa"/>
            </w:tcMar>
            <w:vAlign w:val="center"/>
          </w:tcPr>
          <w:p w14:paraId="45C5EBC9" w14:textId="7E606C15" w:rsidR="00450E69" w:rsidRDefault="00450E69" w:rsidP="00B75C5F">
            <w:pPr>
              <w:pStyle w:val="GITableBody"/>
              <w:spacing w:line="276" w:lineRule="auto"/>
              <w:jc w:val="center"/>
            </w:pPr>
            <w:r>
              <w:t>100%</w:t>
            </w:r>
          </w:p>
        </w:tc>
      </w:tr>
      <w:tr w:rsidR="00450E69" w14:paraId="78A77CFD" w14:textId="77777777" w:rsidTr="00B75C5F">
        <w:trPr>
          <w:trHeight w:val="18"/>
        </w:trPr>
        <w:tc>
          <w:tcPr>
            <w:tcW w:w="918" w:type="pct"/>
            <w:tcBorders>
              <w:top w:val="single" w:sz="4" w:space="0" w:color="BFBFBF"/>
              <w:left w:val="nil"/>
              <w:bottom w:val="single" w:sz="4" w:space="0" w:color="BFBFBF"/>
              <w:right w:val="nil"/>
            </w:tcBorders>
            <w:tcMar>
              <w:top w:w="57" w:type="dxa"/>
              <w:left w:w="113" w:type="dxa"/>
              <w:bottom w:w="57" w:type="dxa"/>
              <w:right w:w="113" w:type="dxa"/>
            </w:tcMar>
            <w:vAlign w:val="center"/>
            <w:hideMark/>
          </w:tcPr>
          <w:p w14:paraId="7CA4FB4B" w14:textId="359F9EA6" w:rsidR="00450E69" w:rsidRDefault="00450E69">
            <w:pPr>
              <w:pStyle w:val="GITableBody"/>
              <w:spacing w:line="276" w:lineRule="auto"/>
            </w:pPr>
            <w:r w:rsidRPr="007B57A5">
              <w:t xml:space="preserve">% of </w:t>
            </w:r>
            <w:r w:rsidR="006F4737">
              <w:t>P</w:t>
            </w:r>
            <w:r w:rsidR="006F4737" w:rsidRPr="00757F1F">
              <w:t xml:space="preserve">ortfolio </w:t>
            </w:r>
            <w:r w:rsidR="006F4737">
              <w:t>C</w:t>
            </w:r>
            <w:r w:rsidR="006F4737" w:rsidRPr="00757F1F">
              <w:t>ompanies</w:t>
            </w:r>
            <w:r w:rsidRPr="007B57A5">
              <w:t xml:space="preserve"> </w:t>
            </w:r>
            <w:r>
              <w:t xml:space="preserve">who have implemented a CO2 offsetting solution </w:t>
            </w:r>
          </w:p>
        </w:tc>
        <w:tc>
          <w:tcPr>
            <w:tcW w:w="786" w:type="pct"/>
            <w:tcBorders>
              <w:top w:val="single" w:sz="4" w:space="0" w:color="BFBFBF"/>
              <w:left w:val="nil"/>
              <w:bottom w:val="single" w:sz="4" w:space="0" w:color="BFBFBF"/>
              <w:right w:val="nil"/>
            </w:tcBorders>
            <w:tcMar>
              <w:top w:w="57" w:type="dxa"/>
              <w:left w:w="113" w:type="dxa"/>
              <w:bottom w:w="57" w:type="dxa"/>
              <w:right w:w="113" w:type="dxa"/>
            </w:tcMar>
            <w:vAlign w:val="center"/>
            <w:hideMark/>
          </w:tcPr>
          <w:p w14:paraId="60495E49" w14:textId="77777777" w:rsidR="00450E69" w:rsidRPr="006433D1" w:rsidRDefault="00450E69" w:rsidP="00B75C5F">
            <w:pPr>
              <w:pStyle w:val="GITableBody"/>
              <w:spacing w:line="276" w:lineRule="auto"/>
              <w:jc w:val="center"/>
              <w:rPr>
                <w:sz w:val="19"/>
                <w:szCs w:val="19"/>
              </w:rPr>
            </w:pPr>
            <w:r w:rsidRPr="006433D1">
              <w:rPr>
                <w:sz w:val="19"/>
                <w:szCs w:val="19"/>
              </w:rPr>
              <w:t>x</w:t>
            </w:r>
          </w:p>
        </w:tc>
        <w:tc>
          <w:tcPr>
            <w:tcW w:w="515" w:type="pct"/>
            <w:tcBorders>
              <w:top w:val="single" w:sz="4" w:space="0" w:color="BFBFBF"/>
              <w:left w:val="nil"/>
              <w:bottom w:val="single" w:sz="4" w:space="0" w:color="BFBFBF"/>
              <w:right w:val="nil"/>
            </w:tcBorders>
            <w:vAlign w:val="center"/>
          </w:tcPr>
          <w:p w14:paraId="587DEC8D" w14:textId="580A113E" w:rsidR="00450E69" w:rsidRPr="006433D1" w:rsidRDefault="00FC6267" w:rsidP="00B75C5F">
            <w:pPr>
              <w:pStyle w:val="GITableBody"/>
              <w:spacing w:line="276" w:lineRule="auto"/>
              <w:jc w:val="center"/>
              <w:rPr>
                <w:sz w:val="19"/>
                <w:szCs w:val="19"/>
              </w:rPr>
            </w:pPr>
            <w:r>
              <w:rPr>
                <w:sz w:val="19"/>
                <w:szCs w:val="19"/>
              </w:rPr>
              <w:t>x</w:t>
            </w:r>
          </w:p>
        </w:tc>
        <w:tc>
          <w:tcPr>
            <w:tcW w:w="561" w:type="pct"/>
            <w:tcBorders>
              <w:top w:val="single" w:sz="4" w:space="0" w:color="BFBFBF"/>
              <w:left w:val="nil"/>
              <w:bottom w:val="single" w:sz="4" w:space="0" w:color="BFBFBF"/>
              <w:right w:val="nil"/>
            </w:tcBorders>
            <w:tcMar>
              <w:top w:w="57" w:type="dxa"/>
              <w:left w:w="113" w:type="dxa"/>
              <w:bottom w:w="57" w:type="dxa"/>
              <w:right w:w="113" w:type="dxa"/>
            </w:tcMar>
            <w:vAlign w:val="center"/>
            <w:hideMark/>
          </w:tcPr>
          <w:p w14:paraId="79B3020A" w14:textId="5D869CC6" w:rsidR="00450E69" w:rsidRPr="006433D1" w:rsidRDefault="00450E69" w:rsidP="00B75C5F">
            <w:pPr>
              <w:pStyle w:val="GITableBody"/>
              <w:spacing w:line="276" w:lineRule="auto"/>
              <w:jc w:val="center"/>
              <w:rPr>
                <w:sz w:val="19"/>
                <w:szCs w:val="19"/>
              </w:rPr>
            </w:pPr>
          </w:p>
        </w:tc>
        <w:tc>
          <w:tcPr>
            <w:tcW w:w="468" w:type="pct"/>
            <w:tcBorders>
              <w:top w:val="single" w:sz="4" w:space="0" w:color="BFBFBF"/>
              <w:left w:val="nil"/>
              <w:bottom w:val="single" w:sz="4" w:space="0" w:color="BFBFBF"/>
              <w:right w:val="nil"/>
            </w:tcBorders>
            <w:vAlign w:val="center"/>
          </w:tcPr>
          <w:p w14:paraId="03E79BCA" w14:textId="77777777" w:rsidR="00450E69" w:rsidRPr="006433D1" w:rsidRDefault="00450E69" w:rsidP="00B75C5F">
            <w:pPr>
              <w:pStyle w:val="GITableBody"/>
              <w:spacing w:line="276" w:lineRule="auto"/>
              <w:jc w:val="center"/>
              <w:rPr>
                <w:sz w:val="19"/>
                <w:szCs w:val="19"/>
              </w:rPr>
            </w:pPr>
          </w:p>
        </w:tc>
        <w:tc>
          <w:tcPr>
            <w:tcW w:w="588" w:type="pct"/>
            <w:tcBorders>
              <w:top w:val="single" w:sz="4" w:space="0" w:color="BFBFBF"/>
              <w:left w:val="nil"/>
              <w:bottom w:val="single" w:sz="4" w:space="0" w:color="BFBFBF"/>
              <w:right w:val="nil"/>
            </w:tcBorders>
            <w:tcMar>
              <w:top w:w="57" w:type="dxa"/>
              <w:left w:w="113" w:type="dxa"/>
              <w:bottom w:w="57" w:type="dxa"/>
              <w:right w:w="113" w:type="dxa"/>
            </w:tcMar>
            <w:vAlign w:val="center"/>
            <w:hideMark/>
          </w:tcPr>
          <w:p w14:paraId="63622C92" w14:textId="7CBF3EDF" w:rsidR="00450E69" w:rsidRDefault="00030704" w:rsidP="00B75C5F">
            <w:pPr>
              <w:pStyle w:val="GITableBody"/>
              <w:spacing w:line="276" w:lineRule="auto"/>
              <w:jc w:val="center"/>
            </w:pPr>
            <w:r>
              <w:t>x</w:t>
            </w:r>
          </w:p>
        </w:tc>
        <w:tc>
          <w:tcPr>
            <w:tcW w:w="1163" w:type="pct"/>
            <w:tcBorders>
              <w:top w:val="single" w:sz="4" w:space="0" w:color="BFBFBF"/>
              <w:left w:val="nil"/>
              <w:bottom w:val="single" w:sz="4" w:space="0" w:color="BFBFBF"/>
              <w:right w:val="nil"/>
            </w:tcBorders>
            <w:tcMar>
              <w:top w:w="57" w:type="dxa"/>
              <w:left w:w="113" w:type="dxa"/>
              <w:bottom w:w="57" w:type="dxa"/>
              <w:right w:w="113" w:type="dxa"/>
            </w:tcMar>
            <w:vAlign w:val="center"/>
            <w:hideMark/>
          </w:tcPr>
          <w:p w14:paraId="4854CF74" w14:textId="42E4A1DE" w:rsidR="00450E69" w:rsidRDefault="00450E69" w:rsidP="00B75C5F">
            <w:pPr>
              <w:pStyle w:val="GITableBody"/>
              <w:spacing w:line="276" w:lineRule="auto"/>
              <w:jc w:val="center"/>
            </w:pPr>
            <w:r>
              <w:t>50%</w:t>
            </w:r>
          </w:p>
        </w:tc>
      </w:tr>
      <w:tr w:rsidR="00450E69" w14:paraId="19890303" w14:textId="77777777" w:rsidTr="00B75C5F">
        <w:trPr>
          <w:trHeight w:val="18"/>
        </w:trPr>
        <w:tc>
          <w:tcPr>
            <w:tcW w:w="918" w:type="pct"/>
            <w:tcBorders>
              <w:top w:val="single" w:sz="4" w:space="0" w:color="BFBFBF"/>
              <w:left w:val="nil"/>
              <w:bottom w:val="single" w:sz="4" w:space="0" w:color="BFBFBF"/>
              <w:right w:val="nil"/>
            </w:tcBorders>
            <w:tcMar>
              <w:top w:w="57" w:type="dxa"/>
              <w:left w:w="113" w:type="dxa"/>
              <w:bottom w:w="57" w:type="dxa"/>
              <w:right w:w="113" w:type="dxa"/>
            </w:tcMar>
            <w:vAlign w:val="center"/>
            <w:hideMark/>
          </w:tcPr>
          <w:p w14:paraId="4C72ECAC" w14:textId="635F3401" w:rsidR="00450E69" w:rsidRDefault="00450E69">
            <w:pPr>
              <w:pStyle w:val="GITableBody"/>
              <w:spacing w:line="276" w:lineRule="auto"/>
            </w:pPr>
            <w:r w:rsidRPr="007B57A5">
              <w:t xml:space="preserve">% of </w:t>
            </w:r>
            <w:r w:rsidR="006F4737">
              <w:t>P</w:t>
            </w:r>
            <w:r w:rsidR="006F4737" w:rsidRPr="00757F1F">
              <w:t xml:space="preserve">ortfolio </w:t>
            </w:r>
            <w:r w:rsidR="006F4737">
              <w:t>C</w:t>
            </w:r>
            <w:r w:rsidR="006F4737" w:rsidRPr="00757F1F">
              <w:t>ompanies</w:t>
            </w:r>
            <w:r w:rsidRPr="007B57A5">
              <w:t xml:space="preserve"> </w:t>
            </w:r>
            <w:r>
              <w:t xml:space="preserve">which either promote (i) innovative food technology or (ii) novel waste product management </w:t>
            </w:r>
          </w:p>
        </w:tc>
        <w:tc>
          <w:tcPr>
            <w:tcW w:w="786" w:type="pct"/>
            <w:tcBorders>
              <w:top w:val="single" w:sz="4" w:space="0" w:color="BFBFBF"/>
              <w:left w:val="nil"/>
              <w:bottom w:val="single" w:sz="4" w:space="0" w:color="BFBFBF"/>
              <w:right w:val="nil"/>
            </w:tcBorders>
            <w:tcMar>
              <w:top w:w="57" w:type="dxa"/>
              <w:left w:w="113" w:type="dxa"/>
              <w:bottom w:w="57" w:type="dxa"/>
              <w:right w:w="113" w:type="dxa"/>
            </w:tcMar>
            <w:vAlign w:val="center"/>
            <w:hideMark/>
          </w:tcPr>
          <w:p w14:paraId="6FEE5893" w14:textId="34F1354A" w:rsidR="00450E69" w:rsidRPr="006433D1" w:rsidRDefault="00450E69" w:rsidP="00B75C5F">
            <w:pPr>
              <w:pStyle w:val="GITableBody"/>
              <w:spacing w:line="276" w:lineRule="auto"/>
              <w:jc w:val="center"/>
              <w:rPr>
                <w:sz w:val="19"/>
                <w:szCs w:val="19"/>
              </w:rPr>
            </w:pPr>
            <w:r w:rsidRPr="006433D1">
              <w:rPr>
                <w:sz w:val="19"/>
                <w:szCs w:val="19"/>
              </w:rPr>
              <w:t>x</w:t>
            </w:r>
          </w:p>
        </w:tc>
        <w:tc>
          <w:tcPr>
            <w:tcW w:w="515" w:type="pct"/>
            <w:tcBorders>
              <w:top w:val="single" w:sz="4" w:space="0" w:color="BFBFBF"/>
              <w:left w:val="nil"/>
              <w:bottom w:val="single" w:sz="4" w:space="0" w:color="BFBFBF"/>
              <w:right w:val="nil"/>
            </w:tcBorders>
            <w:vAlign w:val="center"/>
          </w:tcPr>
          <w:p w14:paraId="08AF67E2" w14:textId="154452DD" w:rsidR="00450E69" w:rsidRPr="006433D1" w:rsidRDefault="00974104" w:rsidP="00B75C5F">
            <w:pPr>
              <w:pStyle w:val="GITableBody"/>
              <w:spacing w:line="276" w:lineRule="auto"/>
              <w:jc w:val="center"/>
              <w:rPr>
                <w:sz w:val="19"/>
                <w:szCs w:val="19"/>
              </w:rPr>
            </w:pPr>
            <w:r w:rsidRPr="006433D1">
              <w:rPr>
                <w:sz w:val="19"/>
                <w:szCs w:val="19"/>
              </w:rPr>
              <w:t>x</w:t>
            </w:r>
          </w:p>
        </w:tc>
        <w:tc>
          <w:tcPr>
            <w:tcW w:w="561" w:type="pct"/>
            <w:tcBorders>
              <w:top w:val="single" w:sz="4" w:space="0" w:color="BFBFBF"/>
              <w:left w:val="nil"/>
              <w:bottom w:val="single" w:sz="4" w:space="0" w:color="BFBFBF"/>
              <w:right w:val="nil"/>
            </w:tcBorders>
            <w:tcMar>
              <w:top w:w="57" w:type="dxa"/>
              <w:left w:w="113" w:type="dxa"/>
              <w:bottom w:w="57" w:type="dxa"/>
              <w:right w:w="113" w:type="dxa"/>
            </w:tcMar>
            <w:vAlign w:val="center"/>
            <w:hideMark/>
          </w:tcPr>
          <w:p w14:paraId="25C8F44B" w14:textId="79F56095" w:rsidR="00450E69" w:rsidRPr="006433D1" w:rsidRDefault="00030704" w:rsidP="00B75C5F">
            <w:pPr>
              <w:pStyle w:val="GITableBody"/>
              <w:spacing w:line="276" w:lineRule="auto"/>
              <w:jc w:val="center"/>
              <w:rPr>
                <w:sz w:val="19"/>
                <w:szCs w:val="19"/>
              </w:rPr>
            </w:pPr>
            <w:r>
              <w:rPr>
                <w:sz w:val="19"/>
                <w:szCs w:val="19"/>
              </w:rPr>
              <w:t>x</w:t>
            </w:r>
          </w:p>
        </w:tc>
        <w:tc>
          <w:tcPr>
            <w:tcW w:w="468" w:type="pct"/>
            <w:tcBorders>
              <w:top w:val="single" w:sz="4" w:space="0" w:color="BFBFBF"/>
              <w:left w:val="nil"/>
              <w:bottom w:val="single" w:sz="4" w:space="0" w:color="BFBFBF"/>
              <w:right w:val="nil"/>
            </w:tcBorders>
            <w:vAlign w:val="center"/>
          </w:tcPr>
          <w:p w14:paraId="0DEA3FB5" w14:textId="77777777" w:rsidR="00450E69" w:rsidRPr="006433D1" w:rsidRDefault="00450E69" w:rsidP="00B75C5F">
            <w:pPr>
              <w:pStyle w:val="GITableBody"/>
              <w:spacing w:line="276" w:lineRule="auto"/>
              <w:jc w:val="center"/>
              <w:rPr>
                <w:sz w:val="19"/>
                <w:szCs w:val="19"/>
              </w:rPr>
            </w:pPr>
          </w:p>
        </w:tc>
        <w:tc>
          <w:tcPr>
            <w:tcW w:w="588" w:type="pct"/>
            <w:tcBorders>
              <w:top w:val="single" w:sz="4" w:space="0" w:color="BFBFBF"/>
              <w:left w:val="nil"/>
              <w:bottom w:val="single" w:sz="4" w:space="0" w:color="BFBFBF"/>
              <w:right w:val="nil"/>
            </w:tcBorders>
            <w:tcMar>
              <w:top w:w="57" w:type="dxa"/>
              <w:left w:w="113" w:type="dxa"/>
              <w:bottom w:w="57" w:type="dxa"/>
              <w:right w:w="113" w:type="dxa"/>
            </w:tcMar>
            <w:vAlign w:val="center"/>
            <w:hideMark/>
          </w:tcPr>
          <w:p w14:paraId="2950A283" w14:textId="64501345" w:rsidR="00450E69" w:rsidRDefault="00FC6267" w:rsidP="00B75C5F">
            <w:pPr>
              <w:pStyle w:val="GITableBody"/>
              <w:spacing w:line="276" w:lineRule="auto"/>
              <w:jc w:val="center"/>
            </w:pPr>
            <w:r>
              <w:t>x</w:t>
            </w:r>
          </w:p>
        </w:tc>
        <w:tc>
          <w:tcPr>
            <w:tcW w:w="1163" w:type="pct"/>
            <w:tcBorders>
              <w:top w:val="single" w:sz="4" w:space="0" w:color="BFBFBF"/>
              <w:left w:val="nil"/>
              <w:bottom w:val="single" w:sz="4" w:space="0" w:color="BFBFBF"/>
              <w:right w:val="nil"/>
            </w:tcBorders>
            <w:tcMar>
              <w:top w:w="57" w:type="dxa"/>
              <w:left w:w="113" w:type="dxa"/>
              <w:bottom w:w="57" w:type="dxa"/>
              <w:right w:w="113" w:type="dxa"/>
            </w:tcMar>
            <w:vAlign w:val="center"/>
            <w:hideMark/>
          </w:tcPr>
          <w:p w14:paraId="15773716" w14:textId="77777777" w:rsidR="00450E69" w:rsidRDefault="00450E69" w:rsidP="00B75C5F">
            <w:pPr>
              <w:pStyle w:val="GITableBody"/>
              <w:spacing w:line="276" w:lineRule="auto"/>
              <w:jc w:val="center"/>
            </w:pPr>
            <w:r>
              <w:t>100%</w:t>
            </w:r>
          </w:p>
        </w:tc>
      </w:tr>
      <w:tr w:rsidR="00D86C7A" w14:paraId="0BF06397" w14:textId="77777777" w:rsidTr="00B75C5F">
        <w:trPr>
          <w:trHeight w:val="18"/>
        </w:trPr>
        <w:tc>
          <w:tcPr>
            <w:tcW w:w="918" w:type="pct"/>
            <w:tcBorders>
              <w:top w:val="single" w:sz="4" w:space="0" w:color="BFBFBF"/>
              <w:left w:val="nil"/>
              <w:bottom w:val="single" w:sz="4" w:space="0" w:color="BFBFBF"/>
              <w:right w:val="nil"/>
            </w:tcBorders>
            <w:tcMar>
              <w:top w:w="57" w:type="dxa"/>
              <w:left w:w="113" w:type="dxa"/>
              <w:bottom w:w="57" w:type="dxa"/>
              <w:right w:w="113" w:type="dxa"/>
            </w:tcMar>
            <w:vAlign w:val="center"/>
          </w:tcPr>
          <w:p w14:paraId="36F7EF80" w14:textId="77F4506E" w:rsidR="00D86C7A" w:rsidRPr="007B57A5" w:rsidRDefault="00D86C7A">
            <w:pPr>
              <w:pStyle w:val="GITableBody"/>
              <w:spacing w:line="276" w:lineRule="auto"/>
            </w:pPr>
            <w:r>
              <w:t xml:space="preserve">% of </w:t>
            </w:r>
            <w:r w:rsidR="006F4737">
              <w:t>P</w:t>
            </w:r>
            <w:r w:rsidR="006F4737" w:rsidRPr="00757F1F">
              <w:t xml:space="preserve">ortfolio </w:t>
            </w:r>
            <w:r w:rsidR="006F4737">
              <w:t>C</w:t>
            </w:r>
            <w:r w:rsidR="006F4737" w:rsidRPr="00757F1F">
              <w:t>ompanies</w:t>
            </w:r>
            <w:r>
              <w:t xml:space="preserve"> which promote healthy and natural FMCG challenger products </w:t>
            </w:r>
          </w:p>
        </w:tc>
        <w:tc>
          <w:tcPr>
            <w:tcW w:w="786" w:type="pct"/>
            <w:tcBorders>
              <w:top w:val="single" w:sz="4" w:space="0" w:color="BFBFBF"/>
              <w:left w:val="nil"/>
              <w:bottom w:val="single" w:sz="4" w:space="0" w:color="BFBFBF"/>
              <w:right w:val="nil"/>
            </w:tcBorders>
            <w:tcMar>
              <w:top w:w="57" w:type="dxa"/>
              <w:left w:w="113" w:type="dxa"/>
              <w:bottom w:w="57" w:type="dxa"/>
              <w:right w:w="113" w:type="dxa"/>
            </w:tcMar>
            <w:vAlign w:val="center"/>
          </w:tcPr>
          <w:p w14:paraId="60ABDB43" w14:textId="77777777" w:rsidR="00D86C7A" w:rsidRPr="006433D1" w:rsidRDefault="00D86C7A" w:rsidP="00B75C5F">
            <w:pPr>
              <w:pStyle w:val="GITableBody"/>
              <w:spacing w:line="276" w:lineRule="auto"/>
              <w:jc w:val="center"/>
              <w:rPr>
                <w:sz w:val="19"/>
                <w:szCs w:val="19"/>
              </w:rPr>
            </w:pPr>
          </w:p>
        </w:tc>
        <w:tc>
          <w:tcPr>
            <w:tcW w:w="515" w:type="pct"/>
            <w:tcBorders>
              <w:top w:val="single" w:sz="4" w:space="0" w:color="BFBFBF"/>
              <w:left w:val="nil"/>
              <w:bottom w:val="single" w:sz="4" w:space="0" w:color="BFBFBF"/>
              <w:right w:val="nil"/>
            </w:tcBorders>
            <w:vAlign w:val="center"/>
          </w:tcPr>
          <w:p w14:paraId="3C078A68" w14:textId="792BABDE" w:rsidR="00D86C7A" w:rsidRPr="006433D1" w:rsidRDefault="00976997" w:rsidP="00B75C5F">
            <w:pPr>
              <w:pStyle w:val="GITableBody"/>
              <w:spacing w:line="276" w:lineRule="auto"/>
              <w:jc w:val="center"/>
              <w:rPr>
                <w:sz w:val="19"/>
                <w:szCs w:val="19"/>
              </w:rPr>
            </w:pPr>
            <w:r>
              <w:rPr>
                <w:sz w:val="19"/>
                <w:szCs w:val="19"/>
              </w:rPr>
              <w:t>x</w:t>
            </w:r>
          </w:p>
        </w:tc>
        <w:tc>
          <w:tcPr>
            <w:tcW w:w="561" w:type="pct"/>
            <w:tcBorders>
              <w:top w:val="single" w:sz="4" w:space="0" w:color="BFBFBF"/>
              <w:left w:val="nil"/>
              <w:bottom w:val="single" w:sz="4" w:space="0" w:color="BFBFBF"/>
              <w:right w:val="nil"/>
            </w:tcBorders>
            <w:tcMar>
              <w:top w:w="57" w:type="dxa"/>
              <w:left w:w="113" w:type="dxa"/>
              <w:bottom w:w="57" w:type="dxa"/>
              <w:right w:w="113" w:type="dxa"/>
            </w:tcMar>
            <w:vAlign w:val="center"/>
          </w:tcPr>
          <w:p w14:paraId="0855954C" w14:textId="3696EFA7" w:rsidR="00D86C7A" w:rsidRPr="006433D1" w:rsidRDefault="00976997" w:rsidP="00B75C5F">
            <w:pPr>
              <w:pStyle w:val="GITableBody"/>
              <w:spacing w:line="276" w:lineRule="auto"/>
              <w:jc w:val="center"/>
              <w:rPr>
                <w:sz w:val="19"/>
                <w:szCs w:val="19"/>
              </w:rPr>
            </w:pPr>
            <w:r>
              <w:rPr>
                <w:sz w:val="19"/>
                <w:szCs w:val="19"/>
              </w:rPr>
              <w:t>x</w:t>
            </w:r>
          </w:p>
        </w:tc>
        <w:tc>
          <w:tcPr>
            <w:tcW w:w="468" w:type="pct"/>
            <w:tcBorders>
              <w:top w:val="single" w:sz="4" w:space="0" w:color="BFBFBF"/>
              <w:left w:val="nil"/>
              <w:bottom w:val="single" w:sz="4" w:space="0" w:color="BFBFBF"/>
              <w:right w:val="nil"/>
            </w:tcBorders>
            <w:vAlign w:val="center"/>
          </w:tcPr>
          <w:p w14:paraId="564D2C18" w14:textId="1B2A088E" w:rsidR="00D86C7A" w:rsidRPr="006433D1" w:rsidRDefault="00D86C7A" w:rsidP="00B75C5F">
            <w:pPr>
              <w:pStyle w:val="GITableBody"/>
              <w:spacing w:line="276" w:lineRule="auto"/>
              <w:jc w:val="center"/>
              <w:rPr>
                <w:sz w:val="19"/>
                <w:szCs w:val="19"/>
              </w:rPr>
            </w:pPr>
          </w:p>
        </w:tc>
        <w:tc>
          <w:tcPr>
            <w:tcW w:w="588" w:type="pct"/>
            <w:tcBorders>
              <w:top w:val="single" w:sz="4" w:space="0" w:color="BFBFBF"/>
              <w:left w:val="nil"/>
              <w:bottom w:val="single" w:sz="4" w:space="0" w:color="BFBFBF"/>
              <w:right w:val="nil"/>
            </w:tcBorders>
            <w:tcMar>
              <w:top w:w="57" w:type="dxa"/>
              <w:left w:w="113" w:type="dxa"/>
              <w:bottom w:w="57" w:type="dxa"/>
              <w:right w:w="113" w:type="dxa"/>
            </w:tcMar>
            <w:vAlign w:val="center"/>
          </w:tcPr>
          <w:p w14:paraId="69A18A5B" w14:textId="77777777" w:rsidR="00D86C7A" w:rsidRDefault="00D86C7A" w:rsidP="00B75C5F">
            <w:pPr>
              <w:pStyle w:val="GITableBody"/>
              <w:spacing w:line="276" w:lineRule="auto"/>
              <w:jc w:val="center"/>
            </w:pPr>
          </w:p>
        </w:tc>
        <w:tc>
          <w:tcPr>
            <w:tcW w:w="1163" w:type="pct"/>
            <w:tcBorders>
              <w:top w:val="single" w:sz="4" w:space="0" w:color="BFBFBF"/>
              <w:left w:val="nil"/>
              <w:bottom w:val="single" w:sz="4" w:space="0" w:color="BFBFBF"/>
              <w:right w:val="nil"/>
            </w:tcBorders>
            <w:tcMar>
              <w:top w:w="57" w:type="dxa"/>
              <w:left w:w="113" w:type="dxa"/>
              <w:bottom w:w="57" w:type="dxa"/>
              <w:right w:w="113" w:type="dxa"/>
            </w:tcMar>
            <w:vAlign w:val="center"/>
          </w:tcPr>
          <w:p w14:paraId="7545A5A3" w14:textId="1E974F95" w:rsidR="00D86C7A" w:rsidRDefault="008217E1" w:rsidP="00B75C5F">
            <w:pPr>
              <w:pStyle w:val="GITableBody"/>
              <w:spacing w:line="276" w:lineRule="auto"/>
              <w:jc w:val="center"/>
            </w:pPr>
            <w:r>
              <w:t>100%</w:t>
            </w:r>
          </w:p>
        </w:tc>
      </w:tr>
      <w:tr w:rsidR="00450E69" w14:paraId="054A8F94" w14:textId="77777777" w:rsidTr="00B75C5F">
        <w:trPr>
          <w:trHeight w:val="18"/>
        </w:trPr>
        <w:tc>
          <w:tcPr>
            <w:tcW w:w="918" w:type="pct"/>
            <w:tcBorders>
              <w:top w:val="single" w:sz="4" w:space="0" w:color="BFBFBF"/>
              <w:left w:val="nil"/>
              <w:bottom w:val="single" w:sz="4" w:space="0" w:color="BFBFBF"/>
              <w:right w:val="nil"/>
            </w:tcBorders>
            <w:tcMar>
              <w:top w:w="57" w:type="dxa"/>
              <w:left w:w="113" w:type="dxa"/>
              <w:bottom w:w="57" w:type="dxa"/>
              <w:right w:w="113" w:type="dxa"/>
            </w:tcMar>
            <w:vAlign w:val="center"/>
            <w:hideMark/>
          </w:tcPr>
          <w:p w14:paraId="38455086" w14:textId="1264A0F9" w:rsidR="00450E69" w:rsidRDefault="00450E69">
            <w:pPr>
              <w:pStyle w:val="GITableBody"/>
              <w:spacing w:line="276" w:lineRule="auto"/>
            </w:pPr>
            <w:r w:rsidRPr="00F528D4">
              <w:t xml:space="preserve">% of </w:t>
            </w:r>
            <w:r w:rsidR="006F4737">
              <w:t>P</w:t>
            </w:r>
            <w:r w:rsidR="006F4737" w:rsidRPr="00757F1F">
              <w:t xml:space="preserve">ortfolio </w:t>
            </w:r>
            <w:r w:rsidR="006F4737">
              <w:t>C</w:t>
            </w:r>
            <w:r w:rsidR="006F4737" w:rsidRPr="00757F1F">
              <w:t>ompanies</w:t>
            </w:r>
            <w:r w:rsidRPr="00F528D4">
              <w:t xml:space="preserve"> </w:t>
            </w:r>
            <w:r>
              <w:t>which enact a gender diversity inclusion program</w:t>
            </w:r>
          </w:p>
        </w:tc>
        <w:tc>
          <w:tcPr>
            <w:tcW w:w="786" w:type="pct"/>
            <w:tcBorders>
              <w:top w:val="single" w:sz="4" w:space="0" w:color="BFBFBF"/>
              <w:left w:val="nil"/>
              <w:bottom w:val="single" w:sz="4" w:space="0" w:color="BFBFBF"/>
              <w:right w:val="nil"/>
            </w:tcBorders>
            <w:tcMar>
              <w:top w:w="57" w:type="dxa"/>
              <w:left w:w="113" w:type="dxa"/>
              <w:bottom w:w="57" w:type="dxa"/>
              <w:right w:w="113" w:type="dxa"/>
            </w:tcMar>
            <w:vAlign w:val="center"/>
            <w:hideMark/>
          </w:tcPr>
          <w:p w14:paraId="562EF4A1" w14:textId="7C8452E3" w:rsidR="00450E69" w:rsidRPr="006433D1" w:rsidRDefault="00450E69" w:rsidP="00B75C5F">
            <w:pPr>
              <w:pStyle w:val="GITableBody"/>
              <w:spacing w:line="276" w:lineRule="auto"/>
              <w:jc w:val="center"/>
              <w:rPr>
                <w:sz w:val="19"/>
                <w:szCs w:val="19"/>
              </w:rPr>
            </w:pPr>
          </w:p>
        </w:tc>
        <w:tc>
          <w:tcPr>
            <w:tcW w:w="515" w:type="pct"/>
            <w:tcBorders>
              <w:top w:val="single" w:sz="4" w:space="0" w:color="BFBFBF"/>
              <w:left w:val="nil"/>
              <w:bottom w:val="single" w:sz="4" w:space="0" w:color="BFBFBF"/>
              <w:right w:val="nil"/>
            </w:tcBorders>
            <w:vAlign w:val="center"/>
          </w:tcPr>
          <w:p w14:paraId="0F5EFF8B" w14:textId="77777777" w:rsidR="00450E69" w:rsidRPr="006433D1" w:rsidRDefault="00450E69" w:rsidP="00B75C5F">
            <w:pPr>
              <w:pStyle w:val="GITableBody"/>
              <w:spacing w:line="276" w:lineRule="auto"/>
              <w:jc w:val="center"/>
              <w:rPr>
                <w:sz w:val="19"/>
                <w:szCs w:val="19"/>
              </w:rPr>
            </w:pPr>
          </w:p>
        </w:tc>
        <w:tc>
          <w:tcPr>
            <w:tcW w:w="561" w:type="pct"/>
            <w:tcBorders>
              <w:top w:val="single" w:sz="4" w:space="0" w:color="BFBFBF"/>
              <w:left w:val="nil"/>
              <w:bottom w:val="single" w:sz="4" w:space="0" w:color="BFBFBF"/>
              <w:right w:val="nil"/>
            </w:tcBorders>
            <w:tcMar>
              <w:top w:w="57" w:type="dxa"/>
              <w:left w:w="113" w:type="dxa"/>
              <w:bottom w:w="57" w:type="dxa"/>
              <w:right w:w="113" w:type="dxa"/>
            </w:tcMar>
            <w:vAlign w:val="center"/>
            <w:hideMark/>
          </w:tcPr>
          <w:p w14:paraId="626B970F" w14:textId="1487B66E" w:rsidR="00450E69" w:rsidRPr="006433D1" w:rsidRDefault="00450E69" w:rsidP="00B75C5F">
            <w:pPr>
              <w:pStyle w:val="GITableBody"/>
              <w:spacing w:line="276" w:lineRule="auto"/>
              <w:jc w:val="center"/>
              <w:rPr>
                <w:sz w:val="19"/>
                <w:szCs w:val="19"/>
              </w:rPr>
            </w:pPr>
          </w:p>
        </w:tc>
        <w:tc>
          <w:tcPr>
            <w:tcW w:w="468" w:type="pct"/>
            <w:tcBorders>
              <w:top w:val="single" w:sz="4" w:space="0" w:color="BFBFBF"/>
              <w:left w:val="nil"/>
              <w:bottom w:val="single" w:sz="4" w:space="0" w:color="BFBFBF"/>
              <w:right w:val="nil"/>
            </w:tcBorders>
            <w:vAlign w:val="center"/>
          </w:tcPr>
          <w:p w14:paraId="3F707110" w14:textId="4DB0BE8C" w:rsidR="00450E69" w:rsidRPr="006433D1" w:rsidRDefault="00983F86" w:rsidP="00B75C5F">
            <w:pPr>
              <w:pStyle w:val="GITableBody"/>
              <w:spacing w:line="276" w:lineRule="auto"/>
              <w:jc w:val="center"/>
              <w:rPr>
                <w:sz w:val="19"/>
                <w:szCs w:val="19"/>
              </w:rPr>
            </w:pPr>
            <w:r w:rsidRPr="006433D1">
              <w:rPr>
                <w:sz w:val="19"/>
                <w:szCs w:val="19"/>
              </w:rPr>
              <w:t>x</w:t>
            </w:r>
          </w:p>
        </w:tc>
        <w:tc>
          <w:tcPr>
            <w:tcW w:w="588" w:type="pct"/>
            <w:tcBorders>
              <w:top w:val="single" w:sz="4" w:space="0" w:color="BFBFBF"/>
              <w:left w:val="nil"/>
              <w:bottom w:val="single" w:sz="4" w:space="0" w:color="BFBFBF"/>
              <w:right w:val="nil"/>
            </w:tcBorders>
            <w:tcMar>
              <w:top w:w="57" w:type="dxa"/>
              <w:left w:w="113" w:type="dxa"/>
              <w:bottom w:w="57" w:type="dxa"/>
              <w:right w:w="113" w:type="dxa"/>
            </w:tcMar>
            <w:vAlign w:val="center"/>
            <w:hideMark/>
          </w:tcPr>
          <w:p w14:paraId="548EFABB" w14:textId="6E9AB075" w:rsidR="00450E69" w:rsidRDefault="00450E69" w:rsidP="00B75C5F">
            <w:pPr>
              <w:pStyle w:val="GITableBody"/>
              <w:spacing w:line="276" w:lineRule="auto"/>
              <w:jc w:val="center"/>
            </w:pPr>
          </w:p>
        </w:tc>
        <w:tc>
          <w:tcPr>
            <w:tcW w:w="1163" w:type="pct"/>
            <w:tcBorders>
              <w:top w:val="single" w:sz="4" w:space="0" w:color="BFBFBF"/>
              <w:left w:val="nil"/>
              <w:bottom w:val="single" w:sz="4" w:space="0" w:color="BFBFBF"/>
              <w:right w:val="nil"/>
            </w:tcBorders>
            <w:tcMar>
              <w:top w:w="57" w:type="dxa"/>
              <w:left w:w="113" w:type="dxa"/>
              <w:bottom w:w="57" w:type="dxa"/>
              <w:right w:w="113" w:type="dxa"/>
            </w:tcMar>
            <w:vAlign w:val="center"/>
            <w:hideMark/>
          </w:tcPr>
          <w:p w14:paraId="0C35C170" w14:textId="4C78639E" w:rsidR="00450E69" w:rsidRDefault="00450E69" w:rsidP="00B75C5F">
            <w:pPr>
              <w:pStyle w:val="GITableBody"/>
              <w:spacing w:line="276" w:lineRule="auto"/>
              <w:jc w:val="center"/>
            </w:pPr>
            <w:r>
              <w:t>100%</w:t>
            </w:r>
          </w:p>
        </w:tc>
      </w:tr>
      <w:tr w:rsidR="00450E69" w14:paraId="4D000993" w14:textId="77777777" w:rsidTr="00B75C5F">
        <w:trPr>
          <w:trHeight w:val="18"/>
        </w:trPr>
        <w:tc>
          <w:tcPr>
            <w:tcW w:w="918" w:type="pct"/>
            <w:tcBorders>
              <w:top w:val="single" w:sz="4" w:space="0" w:color="BFBFBF"/>
              <w:left w:val="nil"/>
              <w:bottom w:val="single" w:sz="4" w:space="0" w:color="BFBFBF"/>
              <w:right w:val="nil"/>
            </w:tcBorders>
            <w:tcMar>
              <w:top w:w="57" w:type="dxa"/>
              <w:left w:w="113" w:type="dxa"/>
              <w:bottom w:w="57" w:type="dxa"/>
              <w:right w:w="113" w:type="dxa"/>
            </w:tcMar>
            <w:vAlign w:val="center"/>
            <w:hideMark/>
          </w:tcPr>
          <w:p w14:paraId="1872C27C" w14:textId="03655FB5" w:rsidR="00450E69" w:rsidRPr="00F528D4" w:rsidRDefault="00450E69" w:rsidP="0068411F">
            <w:pPr>
              <w:autoSpaceDE w:val="0"/>
              <w:autoSpaceDN w:val="0"/>
              <w:adjustRightInd w:val="0"/>
              <w:spacing w:before="0" w:after="0"/>
              <w:ind w:left="0"/>
              <w:jc w:val="both"/>
              <w:rPr>
                <w:rFonts w:ascii="Futura Bk BT" w:hAnsi="Futura Bk BT" w:cs="Futura Bk BT"/>
                <w:color w:val="000000"/>
                <w:sz w:val="18"/>
                <w:szCs w:val="18"/>
              </w:rPr>
            </w:pPr>
            <w:r w:rsidRPr="00F528D4">
              <w:rPr>
                <w:rFonts w:ascii="Futura Bk BT" w:hAnsi="Futura Bk BT" w:cs="Futura Bk BT"/>
                <w:color w:val="000000"/>
                <w:sz w:val="18"/>
                <w:szCs w:val="18"/>
              </w:rPr>
              <w:t xml:space="preserve">% </w:t>
            </w:r>
            <w:r w:rsidRPr="00A60971">
              <w:rPr>
                <w:rFonts w:ascii="Futura Bk BT" w:hAnsi="Futura Bk BT" w:cs="Futura Bk BT"/>
                <w:color w:val="000000"/>
                <w:sz w:val="18"/>
                <w:szCs w:val="18"/>
              </w:rPr>
              <w:t xml:space="preserve">of </w:t>
            </w:r>
            <w:r w:rsidR="006F4737" w:rsidRPr="00A60971">
              <w:rPr>
                <w:sz w:val="18"/>
                <w:szCs w:val="18"/>
              </w:rPr>
              <w:t>Portfolio Companies</w:t>
            </w:r>
            <w:r w:rsidRPr="00A60971">
              <w:rPr>
                <w:rFonts w:ascii="Futura Bk BT" w:hAnsi="Futura Bk BT" w:cs="Futura Bk BT"/>
                <w:color w:val="000000"/>
                <w:sz w:val="18"/>
                <w:szCs w:val="18"/>
              </w:rPr>
              <w:t xml:space="preserve"> which promote a clean</w:t>
            </w:r>
            <w:r>
              <w:rPr>
                <w:rFonts w:ascii="Futura Bk BT" w:hAnsi="Futura Bk BT" w:cs="Futura Bk BT"/>
                <w:color w:val="000000"/>
                <w:sz w:val="18"/>
                <w:szCs w:val="18"/>
              </w:rPr>
              <w:t xml:space="preserve"> </w:t>
            </w:r>
            <w:r w:rsidRPr="00F528D4">
              <w:rPr>
                <w:rFonts w:ascii="Futura Bk BT" w:hAnsi="Futura Bk BT" w:cs="Futura Bk BT"/>
                <w:color w:val="000000"/>
                <w:sz w:val="18"/>
                <w:szCs w:val="18"/>
              </w:rPr>
              <w:t xml:space="preserve">supply chain management </w:t>
            </w:r>
            <w:r>
              <w:rPr>
                <w:rFonts w:ascii="Futura Bk BT" w:hAnsi="Futura Bk BT" w:cs="Futura Bk BT"/>
                <w:color w:val="000000"/>
                <w:sz w:val="18"/>
                <w:szCs w:val="18"/>
              </w:rPr>
              <w:t>program and clean food tracking, if applicable</w:t>
            </w:r>
          </w:p>
        </w:tc>
        <w:tc>
          <w:tcPr>
            <w:tcW w:w="786" w:type="pct"/>
            <w:tcBorders>
              <w:top w:val="single" w:sz="4" w:space="0" w:color="BFBFBF"/>
              <w:left w:val="nil"/>
              <w:bottom w:val="single" w:sz="4" w:space="0" w:color="BFBFBF"/>
              <w:right w:val="nil"/>
            </w:tcBorders>
            <w:tcMar>
              <w:top w:w="57" w:type="dxa"/>
              <w:left w:w="113" w:type="dxa"/>
              <w:bottom w:w="57" w:type="dxa"/>
              <w:right w:w="113" w:type="dxa"/>
            </w:tcMar>
            <w:vAlign w:val="center"/>
            <w:hideMark/>
          </w:tcPr>
          <w:p w14:paraId="059BDED9" w14:textId="77777777" w:rsidR="00450E69" w:rsidRPr="006433D1" w:rsidRDefault="00450E69" w:rsidP="00B75C5F">
            <w:pPr>
              <w:pStyle w:val="GITableBody"/>
              <w:spacing w:line="276" w:lineRule="auto"/>
              <w:jc w:val="center"/>
              <w:rPr>
                <w:sz w:val="19"/>
                <w:szCs w:val="19"/>
              </w:rPr>
            </w:pPr>
            <w:r w:rsidRPr="006433D1">
              <w:rPr>
                <w:sz w:val="19"/>
                <w:szCs w:val="19"/>
              </w:rPr>
              <w:t>x</w:t>
            </w:r>
          </w:p>
        </w:tc>
        <w:tc>
          <w:tcPr>
            <w:tcW w:w="515" w:type="pct"/>
            <w:tcBorders>
              <w:top w:val="single" w:sz="4" w:space="0" w:color="BFBFBF"/>
              <w:left w:val="nil"/>
              <w:bottom w:val="single" w:sz="4" w:space="0" w:color="BFBFBF"/>
              <w:right w:val="nil"/>
            </w:tcBorders>
            <w:vAlign w:val="center"/>
          </w:tcPr>
          <w:p w14:paraId="65DE9D25" w14:textId="108AD9E1" w:rsidR="00450E69" w:rsidRPr="006433D1" w:rsidRDefault="00974104" w:rsidP="00B75C5F">
            <w:pPr>
              <w:pStyle w:val="GITableBody"/>
              <w:spacing w:line="276" w:lineRule="auto"/>
              <w:jc w:val="center"/>
              <w:rPr>
                <w:sz w:val="19"/>
                <w:szCs w:val="19"/>
              </w:rPr>
            </w:pPr>
            <w:r w:rsidRPr="006433D1">
              <w:rPr>
                <w:sz w:val="19"/>
                <w:szCs w:val="19"/>
              </w:rPr>
              <w:t>x</w:t>
            </w:r>
          </w:p>
        </w:tc>
        <w:tc>
          <w:tcPr>
            <w:tcW w:w="561" w:type="pct"/>
            <w:tcBorders>
              <w:top w:val="single" w:sz="4" w:space="0" w:color="BFBFBF"/>
              <w:left w:val="nil"/>
              <w:bottom w:val="single" w:sz="4" w:space="0" w:color="BFBFBF"/>
              <w:right w:val="nil"/>
            </w:tcBorders>
            <w:tcMar>
              <w:top w:w="57" w:type="dxa"/>
              <w:left w:w="113" w:type="dxa"/>
              <w:bottom w:w="57" w:type="dxa"/>
              <w:right w:w="113" w:type="dxa"/>
            </w:tcMar>
            <w:vAlign w:val="center"/>
            <w:hideMark/>
          </w:tcPr>
          <w:p w14:paraId="47C0EF77" w14:textId="4A7E2F05" w:rsidR="00450E69" w:rsidRPr="006433D1" w:rsidRDefault="00450E69" w:rsidP="00B75C5F">
            <w:pPr>
              <w:pStyle w:val="GITableBody"/>
              <w:spacing w:line="276" w:lineRule="auto"/>
              <w:jc w:val="center"/>
              <w:rPr>
                <w:sz w:val="19"/>
                <w:szCs w:val="19"/>
              </w:rPr>
            </w:pPr>
          </w:p>
        </w:tc>
        <w:tc>
          <w:tcPr>
            <w:tcW w:w="468" w:type="pct"/>
            <w:tcBorders>
              <w:top w:val="single" w:sz="4" w:space="0" w:color="BFBFBF"/>
              <w:left w:val="nil"/>
              <w:bottom w:val="single" w:sz="4" w:space="0" w:color="BFBFBF"/>
              <w:right w:val="nil"/>
            </w:tcBorders>
            <w:vAlign w:val="center"/>
          </w:tcPr>
          <w:p w14:paraId="5640A302" w14:textId="77777777" w:rsidR="00450E69" w:rsidRPr="006433D1" w:rsidRDefault="00450E69" w:rsidP="00B75C5F">
            <w:pPr>
              <w:pStyle w:val="GITableBody"/>
              <w:spacing w:line="276" w:lineRule="auto"/>
              <w:jc w:val="center"/>
              <w:rPr>
                <w:sz w:val="19"/>
                <w:szCs w:val="19"/>
              </w:rPr>
            </w:pPr>
          </w:p>
        </w:tc>
        <w:tc>
          <w:tcPr>
            <w:tcW w:w="588" w:type="pct"/>
            <w:tcBorders>
              <w:top w:val="single" w:sz="4" w:space="0" w:color="BFBFBF"/>
              <w:left w:val="nil"/>
              <w:bottom w:val="single" w:sz="4" w:space="0" w:color="BFBFBF"/>
              <w:right w:val="nil"/>
            </w:tcBorders>
            <w:tcMar>
              <w:top w:w="57" w:type="dxa"/>
              <w:left w:w="113" w:type="dxa"/>
              <w:bottom w:w="57" w:type="dxa"/>
              <w:right w:w="113" w:type="dxa"/>
            </w:tcMar>
            <w:vAlign w:val="center"/>
            <w:hideMark/>
          </w:tcPr>
          <w:p w14:paraId="4FAF90C1" w14:textId="39D5381F" w:rsidR="00450E69" w:rsidRDefault="00450E69" w:rsidP="00B75C5F">
            <w:pPr>
              <w:pStyle w:val="GITableBody"/>
              <w:spacing w:line="276" w:lineRule="auto"/>
              <w:jc w:val="center"/>
            </w:pPr>
          </w:p>
        </w:tc>
        <w:tc>
          <w:tcPr>
            <w:tcW w:w="1163" w:type="pct"/>
            <w:tcBorders>
              <w:top w:val="single" w:sz="4" w:space="0" w:color="BFBFBF"/>
              <w:left w:val="nil"/>
              <w:bottom w:val="single" w:sz="4" w:space="0" w:color="BFBFBF"/>
              <w:right w:val="nil"/>
            </w:tcBorders>
            <w:tcMar>
              <w:top w:w="57" w:type="dxa"/>
              <w:left w:w="113" w:type="dxa"/>
              <w:bottom w:w="57" w:type="dxa"/>
              <w:right w:w="113" w:type="dxa"/>
            </w:tcMar>
            <w:vAlign w:val="center"/>
            <w:hideMark/>
          </w:tcPr>
          <w:p w14:paraId="1D5124DE" w14:textId="2ED05B80" w:rsidR="00450E69" w:rsidRDefault="00450E69" w:rsidP="00B75C5F">
            <w:pPr>
              <w:pStyle w:val="GITableBody"/>
              <w:spacing w:line="276" w:lineRule="auto"/>
              <w:jc w:val="center"/>
            </w:pPr>
            <w:r>
              <w:t>100%</w:t>
            </w:r>
          </w:p>
        </w:tc>
      </w:tr>
      <w:tr w:rsidR="00450E69" w14:paraId="43632FA0" w14:textId="77777777" w:rsidTr="00B75C5F">
        <w:trPr>
          <w:trHeight w:val="18"/>
        </w:trPr>
        <w:tc>
          <w:tcPr>
            <w:tcW w:w="918" w:type="pct"/>
            <w:tcBorders>
              <w:top w:val="single" w:sz="4" w:space="0" w:color="BFBFBF"/>
              <w:left w:val="nil"/>
              <w:bottom w:val="single" w:sz="4" w:space="0" w:color="BFBFBF"/>
              <w:right w:val="nil"/>
            </w:tcBorders>
            <w:tcMar>
              <w:top w:w="57" w:type="dxa"/>
              <w:left w:w="113" w:type="dxa"/>
              <w:bottom w:w="57" w:type="dxa"/>
              <w:right w:w="113" w:type="dxa"/>
            </w:tcMar>
            <w:vAlign w:val="center"/>
            <w:hideMark/>
          </w:tcPr>
          <w:p w14:paraId="6EE3D154" w14:textId="456E9D89" w:rsidR="00450E69" w:rsidRDefault="00450E69">
            <w:pPr>
              <w:pStyle w:val="GITableBody"/>
              <w:spacing w:line="276" w:lineRule="auto"/>
            </w:pPr>
            <w:r w:rsidRPr="00F528D4">
              <w:t xml:space="preserve">% of </w:t>
            </w:r>
            <w:r w:rsidR="006F4737">
              <w:t>P</w:t>
            </w:r>
            <w:r w:rsidR="006F4737" w:rsidRPr="00757F1F">
              <w:t xml:space="preserve">ortfolio </w:t>
            </w:r>
            <w:r w:rsidR="006F4737">
              <w:t>C</w:t>
            </w:r>
            <w:r w:rsidR="006F4737" w:rsidRPr="00757F1F">
              <w:t>ompanies</w:t>
            </w:r>
            <w:r w:rsidRPr="00F528D4">
              <w:t xml:space="preserve"> with </w:t>
            </w:r>
            <w:r>
              <w:t>IP on the intersection of consumption and technology that enable significant advancements in sustainable living</w:t>
            </w:r>
          </w:p>
        </w:tc>
        <w:tc>
          <w:tcPr>
            <w:tcW w:w="786" w:type="pct"/>
            <w:tcBorders>
              <w:top w:val="single" w:sz="4" w:space="0" w:color="BFBFBF"/>
              <w:left w:val="nil"/>
              <w:bottom w:val="single" w:sz="4" w:space="0" w:color="BFBFBF"/>
              <w:right w:val="nil"/>
            </w:tcBorders>
            <w:tcMar>
              <w:top w:w="57" w:type="dxa"/>
              <w:left w:w="113" w:type="dxa"/>
              <w:bottom w:w="57" w:type="dxa"/>
              <w:right w:w="113" w:type="dxa"/>
            </w:tcMar>
            <w:vAlign w:val="center"/>
            <w:hideMark/>
          </w:tcPr>
          <w:p w14:paraId="34E27A47" w14:textId="77777777" w:rsidR="00450E69" w:rsidRPr="006433D1" w:rsidRDefault="00450E69" w:rsidP="00B75C5F">
            <w:pPr>
              <w:pStyle w:val="GITableBody"/>
              <w:spacing w:line="276" w:lineRule="auto"/>
              <w:jc w:val="center"/>
              <w:rPr>
                <w:sz w:val="19"/>
                <w:szCs w:val="19"/>
              </w:rPr>
            </w:pPr>
            <w:r w:rsidRPr="006433D1">
              <w:rPr>
                <w:sz w:val="19"/>
                <w:szCs w:val="19"/>
              </w:rPr>
              <w:t>x</w:t>
            </w:r>
          </w:p>
        </w:tc>
        <w:tc>
          <w:tcPr>
            <w:tcW w:w="515" w:type="pct"/>
            <w:tcBorders>
              <w:top w:val="single" w:sz="4" w:space="0" w:color="BFBFBF"/>
              <w:left w:val="nil"/>
              <w:bottom w:val="single" w:sz="4" w:space="0" w:color="BFBFBF"/>
              <w:right w:val="nil"/>
            </w:tcBorders>
            <w:vAlign w:val="center"/>
          </w:tcPr>
          <w:p w14:paraId="258A856A" w14:textId="43D6DD9F" w:rsidR="00450E69" w:rsidRPr="006433D1" w:rsidRDefault="00974104" w:rsidP="00B75C5F">
            <w:pPr>
              <w:pStyle w:val="GITableBody"/>
              <w:spacing w:line="276" w:lineRule="auto"/>
              <w:jc w:val="center"/>
              <w:rPr>
                <w:sz w:val="19"/>
                <w:szCs w:val="19"/>
              </w:rPr>
            </w:pPr>
            <w:r w:rsidRPr="006433D1">
              <w:rPr>
                <w:sz w:val="19"/>
                <w:szCs w:val="19"/>
              </w:rPr>
              <w:t>x</w:t>
            </w:r>
          </w:p>
        </w:tc>
        <w:tc>
          <w:tcPr>
            <w:tcW w:w="561" w:type="pct"/>
            <w:tcBorders>
              <w:top w:val="single" w:sz="4" w:space="0" w:color="BFBFBF"/>
              <w:left w:val="nil"/>
              <w:bottom w:val="single" w:sz="4" w:space="0" w:color="BFBFBF"/>
              <w:right w:val="nil"/>
            </w:tcBorders>
            <w:tcMar>
              <w:top w:w="57" w:type="dxa"/>
              <w:left w:w="113" w:type="dxa"/>
              <w:bottom w:w="57" w:type="dxa"/>
              <w:right w:w="113" w:type="dxa"/>
            </w:tcMar>
            <w:vAlign w:val="center"/>
            <w:hideMark/>
          </w:tcPr>
          <w:p w14:paraId="6F79CBE2" w14:textId="75B36705" w:rsidR="00450E69" w:rsidRPr="006433D1" w:rsidRDefault="00FC6267" w:rsidP="00B75C5F">
            <w:pPr>
              <w:pStyle w:val="GITableBody"/>
              <w:spacing w:line="276" w:lineRule="auto"/>
              <w:jc w:val="center"/>
              <w:rPr>
                <w:sz w:val="19"/>
                <w:szCs w:val="19"/>
              </w:rPr>
            </w:pPr>
            <w:r>
              <w:rPr>
                <w:sz w:val="19"/>
                <w:szCs w:val="19"/>
              </w:rPr>
              <w:t>x</w:t>
            </w:r>
          </w:p>
        </w:tc>
        <w:tc>
          <w:tcPr>
            <w:tcW w:w="468" w:type="pct"/>
            <w:tcBorders>
              <w:top w:val="single" w:sz="4" w:space="0" w:color="BFBFBF"/>
              <w:left w:val="nil"/>
              <w:bottom w:val="single" w:sz="4" w:space="0" w:color="BFBFBF"/>
              <w:right w:val="nil"/>
            </w:tcBorders>
            <w:vAlign w:val="center"/>
          </w:tcPr>
          <w:p w14:paraId="740E2E08" w14:textId="77777777" w:rsidR="00450E69" w:rsidRPr="006433D1" w:rsidRDefault="00450E69" w:rsidP="00B75C5F">
            <w:pPr>
              <w:pStyle w:val="GITableBody"/>
              <w:spacing w:line="276" w:lineRule="auto"/>
              <w:jc w:val="center"/>
              <w:rPr>
                <w:sz w:val="19"/>
                <w:szCs w:val="19"/>
              </w:rPr>
            </w:pPr>
          </w:p>
        </w:tc>
        <w:tc>
          <w:tcPr>
            <w:tcW w:w="588" w:type="pct"/>
            <w:tcBorders>
              <w:top w:val="single" w:sz="4" w:space="0" w:color="BFBFBF"/>
              <w:left w:val="nil"/>
              <w:bottom w:val="single" w:sz="4" w:space="0" w:color="BFBFBF"/>
              <w:right w:val="nil"/>
            </w:tcBorders>
            <w:tcMar>
              <w:top w:w="57" w:type="dxa"/>
              <w:left w:w="113" w:type="dxa"/>
              <w:bottom w:w="57" w:type="dxa"/>
              <w:right w:w="113" w:type="dxa"/>
            </w:tcMar>
            <w:vAlign w:val="center"/>
            <w:hideMark/>
          </w:tcPr>
          <w:p w14:paraId="2E8F91FE" w14:textId="34212975" w:rsidR="00450E69" w:rsidRDefault="00FC6267" w:rsidP="00B75C5F">
            <w:pPr>
              <w:pStyle w:val="GITableBody"/>
              <w:spacing w:line="276" w:lineRule="auto"/>
              <w:jc w:val="center"/>
            </w:pPr>
            <w:r>
              <w:t>x</w:t>
            </w:r>
          </w:p>
        </w:tc>
        <w:tc>
          <w:tcPr>
            <w:tcW w:w="1163" w:type="pct"/>
            <w:tcBorders>
              <w:top w:val="single" w:sz="4" w:space="0" w:color="BFBFBF"/>
              <w:left w:val="nil"/>
              <w:bottom w:val="single" w:sz="4" w:space="0" w:color="BFBFBF"/>
              <w:right w:val="nil"/>
            </w:tcBorders>
            <w:tcMar>
              <w:top w:w="57" w:type="dxa"/>
              <w:left w:w="113" w:type="dxa"/>
              <w:bottom w:w="57" w:type="dxa"/>
              <w:right w:w="113" w:type="dxa"/>
            </w:tcMar>
            <w:vAlign w:val="center"/>
            <w:hideMark/>
          </w:tcPr>
          <w:p w14:paraId="54E07E89" w14:textId="3176AD7C" w:rsidR="00450E69" w:rsidRDefault="00450E69" w:rsidP="00B75C5F">
            <w:pPr>
              <w:pStyle w:val="GITableBody"/>
              <w:spacing w:line="276" w:lineRule="auto"/>
              <w:jc w:val="center"/>
            </w:pPr>
            <w:r>
              <w:t>100%</w:t>
            </w:r>
          </w:p>
        </w:tc>
      </w:tr>
    </w:tbl>
    <w:p w14:paraId="46DB65BF" w14:textId="197523D2" w:rsidR="00116912" w:rsidRPr="005476F3" w:rsidRDefault="00116912" w:rsidP="00347E04">
      <w:pPr>
        <w:pStyle w:val="GIBulletXX"/>
        <w:rPr>
          <w:rStyle w:val="eop"/>
          <w:color w:val="auto"/>
        </w:rPr>
      </w:pPr>
      <w:r w:rsidRPr="005476F3">
        <w:rPr>
          <w:rStyle w:val="eop"/>
          <w:color w:val="auto"/>
        </w:rPr>
        <w:t xml:space="preserve">What </w:t>
      </w:r>
      <w:r w:rsidRPr="005476F3">
        <w:rPr>
          <w:color w:val="auto"/>
        </w:rPr>
        <w:t>investment strategy does this financial product follow?</w:t>
      </w:r>
    </w:p>
    <w:p w14:paraId="4F3404B8" w14:textId="615ACAFD" w:rsidR="008330C7" w:rsidRPr="00171CDE" w:rsidRDefault="00F522D6" w:rsidP="009756E6">
      <w:pPr>
        <w:suppressAutoHyphens/>
        <w:ind w:left="0"/>
        <w:jc w:val="both"/>
      </w:pPr>
      <w:r w:rsidRPr="00224FD1">
        <w:rPr>
          <w:lang w:val="en-GB"/>
        </w:rPr>
        <w:t xml:space="preserve">Green Generation Fund GmbH &amp; Co. KG </w:t>
      </w:r>
      <w:r w:rsidR="008330C7" w:rsidRPr="00171CDE">
        <w:t xml:space="preserve">is an </w:t>
      </w:r>
      <w:r w:rsidR="00FA0080" w:rsidRPr="00171CDE">
        <w:t>investment fund in the form of a Spezial-AIF</w:t>
      </w:r>
      <w:r w:rsidR="002948A3" w:rsidRPr="00171CDE">
        <w:t xml:space="preserve"> and is an internally managed capital management entity </w:t>
      </w:r>
      <w:r w:rsidR="008330C7" w:rsidRPr="00171CDE">
        <w:t xml:space="preserve">with </w:t>
      </w:r>
      <w:r w:rsidR="00531E09">
        <w:t xml:space="preserve">a commitment size of approximately </w:t>
      </w:r>
      <w:r w:rsidR="008330C7" w:rsidRPr="00171CDE">
        <w:t>€</w:t>
      </w:r>
      <w:r w:rsidR="004E5628" w:rsidRPr="00171CDE">
        <w:t>100</w:t>
      </w:r>
      <w:r w:rsidR="008330C7" w:rsidRPr="00171CDE">
        <w:t xml:space="preserve"> </w:t>
      </w:r>
      <w:r w:rsidR="004E5628" w:rsidRPr="00171CDE">
        <w:t>m</w:t>
      </w:r>
      <w:r w:rsidR="008330C7" w:rsidRPr="00171CDE">
        <w:t xml:space="preserve">illion. The Fund </w:t>
      </w:r>
      <w:r w:rsidR="0041383B" w:rsidRPr="00171CDE">
        <w:t xml:space="preserve">was established </w:t>
      </w:r>
      <w:r w:rsidR="008330C7" w:rsidRPr="00171CDE">
        <w:t xml:space="preserve">to </w:t>
      </w:r>
      <w:r w:rsidR="005C2F52" w:rsidRPr="001E0206">
        <w:t>pursue a sector-based investment strategy in the small-cap sustainable food technology segment. The Fund focuses on investments in companies in the European Union and the United State</w:t>
      </w:r>
      <w:r w:rsidR="007C3F7A">
        <w:t>s</w:t>
      </w:r>
      <w:r w:rsidR="00637AD5" w:rsidRPr="00171CDE">
        <w:t xml:space="preserve"> </w:t>
      </w:r>
      <w:r w:rsidR="008330C7" w:rsidRPr="00171CDE">
        <w:t>over the long term.</w:t>
      </w:r>
    </w:p>
    <w:p w14:paraId="19A5F152" w14:textId="66A71BEB" w:rsidR="008330C7" w:rsidRDefault="008330C7" w:rsidP="009756E6">
      <w:pPr>
        <w:suppressAutoHyphens/>
        <w:ind w:left="0"/>
        <w:jc w:val="both"/>
      </w:pPr>
      <w:r w:rsidRPr="005476F3">
        <w:t>The strategic positioning of the Fund to achieve the target return is based on the following:</w:t>
      </w:r>
    </w:p>
    <w:p w14:paraId="3E8F631D" w14:textId="61C0ED45" w:rsidR="00482DBD" w:rsidRDefault="00482DBD" w:rsidP="00482DBD">
      <w:pPr>
        <w:pStyle w:val="GIBodyBullets1"/>
        <w:numPr>
          <w:ilvl w:val="0"/>
          <w:numId w:val="19"/>
        </w:numPr>
        <w:spacing w:before="0" w:after="120"/>
        <w:ind w:left="1349" w:hanging="357"/>
        <w:jc w:val="both"/>
        <w:textAlignment w:val="auto"/>
      </w:pPr>
      <w:r>
        <w:rPr>
          <w:b/>
          <w:bCs/>
        </w:rPr>
        <w:t>Top down research led portfolio construction:</w:t>
      </w:r>
      <w:r>
        <w:t xml:space="preserve"> the Fund adopts a research-led core investment strategy that is based on an intrinsic understanding of </w:t>
      </w:r>
      <w:r w:rsidR="000F5C28">
        <w:t>emerging consumer trends within food sustainability</w:t>
      </w:r>
      <w:r>
        <w:t>. In our approach to core investing we invest for income, ensuring capital preservation and long-term growth.</w:t>
      </w:r>
    </w:p>
    <w:p w14:paraId="1DDA1C6A" w14:textId="04DE2C7E" w:rsidR="00482DBD" w:rsidRDefault="00D16D6A" w:rsidP="00482DBD">
      <w:pPr>
        <w:pStyle w:val="GIBodyBullets1"/>
        <w:numPr>
          <w:ilvl w:val="0"/>
          <w:numId w:val="19"/>
        </w:numPr>
        <w:spacing w:before="0" w:after="120"/>
        <w:ind w:left="1349" w:hanging="357"/>
        <w:jc w:val="both"/>
        <w:textAlignment w:val="auto"/>
      </w:pPr>
      <w:r>
        <w:rPr>
          <w:b/>
          <w:bCs/>
        </w:rPr>
        <w:t>Consumer Shifts</w:t>
      </w:r>
      <w:r w:rsidR="00482DBD">
        <w:rPr>
          <w:b/>
          <w:bCs/>
        </w:rPr>
        <w:t>:</w:t>
      </w:r>
      <w:r w:rsidR="00482DBD">
        <w:t xml:space="preserve"> the Fund focuses on </w:t>
      </w:r>
      <w:r w:rsidR="009E3673">
        <w:t xml:space="preserve">investments, as a result of millennial demand, in new brands that </w:t>
      </w:r>
      <w:r w:rsidR="00E37E3B">
        <w:t xml:space="preserve">challenge </w:t>
      </w:r>
      <w:r w:rsidR="00F1396D">
        <w:t>traditional</w:t>
      </w:r>
      <w:r w:rsidR="00E37E3B">
        <w:t xml:space="preserve"> food brands and that personalize </w:t>
      </w:r>
      <w:r w:rsidR="00F1396D">
        <w:t>nutrition</w:t>
      </w:r>
      <w:r w:rsidR="00E37E3B">
        <w:t xml:space="preserve"> based on age, gender and microbiome</w:t>
      </w:r>
      <w:r w:rsidR="0068411F">
        <w:t>, amongst other</w:t>
      </w:r>
      <w:r w:rsidR="00666872">
        <w:t xml:space="preserve"> </w:t>
      </w:r>
      <w:r w:rsidR="00666872" w:rsidRPr="00666872">
        <w:t>burgeoning</w:t>
      </w:r>
      <w:r w:rsidR="00666872">
        <w:t xml:space="preserve"> sustainability trends</w:t>
      </w:r>
      <w:r w:rsidR="00E37E3B">
        <w:t xml:space="preserve">. </w:t>
      </w:r>
    </w:p>
    <w:p w14:paraId="0FB55A2B" w14:textId="371F03C7" w:rsidR="00482DBD" w:rsidRDefault="00482DBD" w:rsidP="00482DBD">
      <w:pPr>
        <w:pStyle w:val="GIBodyBullets1"/>
        <w:numPr>
          <w:ilvl w:val="0"/>
          <w:numId w:val="19"/>
        </w:numPr>
        <w:spacing w:before="0" w:after="120"/>
        <w:ind w:left="1349" w:hanging="357"/>
        <w:jc w:val="both"/>
        <w:textAlignment w:val="auto"/>
      </w:pPr>
      <w:r>
        <w:rPr>
          <w:b/>
          <w:bCs/>
        </w:rPr>
        <w:t>Income enhancement:</w:t>
      </w:r>
      <w:r>
        <w:t xml:space="preserve"> the Fund looks for hidden unrecognised and unrealised value in all acquisitions. The Fund will look to unlock value through select and limited </w:t>
      </w:r>
      <w:r w:rsidR="00BA5AFA">
        <w:t>investments</w:t>
      </w:r>
      <w:r>
        <w:t>.</w:t>
      </w:r>
    </w:p>
    <w:p w14:paraId="3B50D766" w14:textId="1BCDE46C" w:rsidR="00482DBD" w:rsidRDefault="00482DBD" w:rsidP="00482DBD">
      <w:pPr>
        <w:pStyle w:val="GIBodyBullets1"/>
        <w:numPr>
          <w:ilvl w:val="0"/>
          <w:numId w:val="19"/>
        </w:numPr>
        <w:spacing w:before="0" w:after="120"/>
        <w:ind w:left="1349" w:hanging="357"/>
        <w:jc w:val="both"/>
        <w:textAlignment w:val="auto"/>
      </w:pPr>
      <w:r>
        <w:rPr>
          <w:b/>
          <w:bCs/>
        </w:rPr>
        <w:t>Themed approach:</w:t>
      </w:r>
      <w:r>
        <w:t xml:space="preserve"> the Fund has very clear, research led strategies focus</w:t>
      </w:r>
      <w:r w:rsidR="006934B0">
        <w:t xml:space="preserve">ing </w:t>
      </w:r>
      <w:r>
        <w:t xml:space="preserve">on </w:t>
      </w:r>
      <w:r w:rsidR="006934B0">
        <w:t>(i</w:t>
      </w:r>
      <w:r w:rsidR="00D16D6A">
        <w:t>) growth sustainable food technology companies; (ii) growth companies with a focus on natural fast-moving consumer goods challenger products; and (iii) growth companies with a focus on food-oriented sustainability and carbon offsetting solutions</w:t>
      </w:r>
    </w:p>
    <w:p w14:paraId="14D0129D" w14:textId="4E2B2298" w:rsidR="00123758" w:rsidRPr="00123758" w:rsidRDefault="00123758" w:rsidP="00123758">
      <w:pPr>
        <w:pStyle w:val="GIBulletXXX"/>
        <w:rPr>
          <w:rFonts w:ascii="Futura Bk BT" w:eastAsiaTheme="minorEastAsia" w:hAnsi="Futura Bk BT"/>
          <w:color w:val="000000"/>
          <w:sz w:val="19"/>
          <w:szCs w:val="19"/>
        </w:rPr>
      </w:pPr>
      <w:r w:rsidRPr="00123758">
        <w:rPr>
          <w:rFonts w:ascii="Futura Bk BT" w:eastAsiaTheme="minorEastAsia" w:hAnsi="Futura Bk BT"/>
          <w:color w:val="000000"/>
          <w:sz w:val="19"/>
          <w:szCs w:val="19"/>
        </w:rPr>
        <w:t xml:space="preserve">The Fund </w:t>
      </w:r>
      <w:r w:rsidR="00F21B6B">
        <w:rPr>
          <w:rFonts w:ascii="Futura Bk BT" w:eastAsiaTheme="minorEastAsia" w:hAnsi="Futura Bk BT"/>
          <w:color w:val="000000"/>
          <w:sz w:val="19"/>
          <w:szCs w:val="19"/>
        </w:rPr>
        <w:t xml:space="preserve">focuses on </w:t>
      </w:r>
      <w:r w:rsidRPr="00123758">
        <w:rPr>
          <w:rFonts w:ascii="Futura Bk BT" w:eastAsiaTheme="minorEastAsia" w:hAnsi="Futura Bk BT"/>
          <w:color w:val="000000"/>
          <w:sz w:val="19"/>
          <w:szCs w:val="19"/>
        </w:rPr>
        <w:t>sustainability and intends to specifically invest in the following fields:</w:t>
      </w:r>
    </w:p>
    <w:p w14:paraId="0D66C7BC" w14:textId="5D8AF016" w:rsidR="00123758" w:rsidRPr="00123758" w:rsidRDefault="00123758" w:rsidP="00123758">
      <w:pPr>
        <w:pStyle w:val="GIBulletXXX"/>
        <w:ind w:left="720"/>
        <w:rPr>
          <w:rFonts w:ascii="Futura Bk BT" w:eastAsiaTheme="minorEastAsia" w:hAnsi="Futura Bk BT"/>
          <w:color w:val="000000"/>
          <w:sz w:val="19"/>
          <w:szCs w:val="19"/>
        </w:rPr>
      </w:pPr>
      <w:r>
        <w:rPr>
          <w:rFonts w:ascii="Futura Bk BT" w:eastAsiaTheme="minorEastAsia" w:hAnsi="Futura Bk BT"/>
          <w:color w:val="000000"/>
          <w:sz w:val="19"/>
          <w:szCs w:val="19"/>
        </w:rPr>
        <w:t xml:space="preserve">   </w:t>
      </w:r>
      <w:r w:rsidRPr="00123758">
        <w:rPr>
          <w:rFonts w:ascii="Futura Bk BT" w:eastAsiaTheme="minorEastAsia" w:hAnsi="Futura Bk BT"/>
          <w:color w:val="000000"/>
          <w:sz w:val="19"/>
          <w:szCs w:val="19"/>
        </w:rPr>
        <w:t>•</w:t>
      </w:r>
      <w:r w:rsidRPr="00123758">
        <w:rPr>
          <w:rFonts w:ascii="Futura Bk BT" w:eastAsiaTheme="minorEastAsia" w:hAnsi="Futura Bk BT"/>
          <w:color w:val="000000"/>
          <w:sz w:val="19"/>
          <w:szCs w:val="19"/>
        </w:rPr>
        <w:tab/>
        <w:t>Plant-based 3.0: cheese, fish, egg</w:t>
      </w:r>
    </w:p>
    <w:p w14:paraId="3B0941B4" w14:textId="3C5CB334" w:rsidR="00123758" w:rsidRPr="00123758" w:rsidRDefault="00123758" w:rsidP="00123758">
      <w:pPr>
        <w:pStyle w:val="GIBulletXXX"/>
        <w:ind w:firstLine="720"/>
        <w:rPr>
          <w:rFonts w:ascii="Futura Bk BT" w:eastAsiaTheme="minorEastAsia" w:hAnsi="Futura Bk BT"/>
          <w:color w:val="000000"/>
          <w:sz w:val="19"/>
          <w:szCs w:val="19"/>
        </w:rPr>
      </w:pPr>
      <w:r>
        <w:rPr>
          <w:rFonts w:ascii="Futura Bk BT" w:eastAsiaTheme="minorEastAsia" w:hAnsi="Futura Bk BT"/>
          <w:color w:val="000000"/>
          <w:sz w:val="19"/>
          <w:szCs w:val="19"/>
        </w:rPr>
        <w:t xml:space="preserve">   </w:t>
      </w:r>
      <w:r w:rsidRPr="00123758">
        <w:rPr>
          <w:rFonts w:ascii="Futura Bk BT" w:eastAsiaTheme="minorEastAsia" w:hAnsi="Futura Bk BT"/>
          <w:color w:val="000000"/>
          <w:sz w:val="19"/>
          <w:szCs w:val="19"/>
        </w:rPr>
        <w:t>•</w:t>
      </w:r>
      <w:r w:rsidRPr="00123758">
        <w:rPr>
          <w:rFonts w:ascii="Futura Bk BT" w:eastAsiaTheme="minorEastAsia" w:hAnsi="Futura Bk BT"/>
          <w:color w:val="000000"/>
          <w:sz w:val="19"/>
          <w:szCs w:val="19"/>
        </w:rPr>
        <w:tab/>
        <w:t>Precision &amp; biomass fermentation</w:t>
      </w:r>
    </w:p>
    <w:p w14:paraId="6D2A5806" w14:textId="453855D1" w:rsidR="00123758" w:rsidRPr="00123758" w:rsidRDefault="00123758" w:rsidP="00123758">
      <w:pPr>
        <w:pStyle w:val="GIBulletXXX"/>
        <w:ind w:firstLine="720"/>
        <w:rPr>
          <w:rFonts w:ascii="Futura Bk BT" w:eastAsiaTheme="minorEastAsia" w:hAnsi="Futura Bk BT"/>
          <w:color w:val="000000"/>
          <w:sz w:val="19"/>
          <w:szCs w:val="19"/>
        </w:rPr>
      </w:pPr>
      <w:r>
        <w:rPr>
          <w:rFonts w:ascii="Futura Bk BT" w:eastAsiaTheme="minorEastAsia" w:hAnsi="Futura Bk BT"/>
          <w:color w:val="000000"/>
          <w:sz w:val="19"/>
          <w:szCs w:val="19"/>
        </w:rPr>
        <w:t xml:space="preserve">   </w:t>
      </w:r>
      <w:r w:rsidRPr="00123758">
        <w:rPr>
          <w:rFonts w:ascii="Futura Bk BT" w:eastAsiaTheme="minorEastAsia" w:hAnsi="Futura Bk BT"/>
          <w:color w:val="000000"/>
          <w:sz w:val="19"/>
          <w:szCs w:val="19"/>
        </w:rPr>
        <w:t>•</w:t>
      </w:r>
      <w:r w:rsidRPr="00123758">
        <w:rPr>
          <w:rFonts w:ascii="Futura Bk BT" w:eastAsiaTheme="minorEastAsia" w:hAnsi="Futura Bk BT"/>
          <w:color w:val="000000"/>
          <w:sz w:val="19"/>
          <w:szCs w:val="19"/>
        </w:rPr>
        <w:tab/>
        <w:t>Meal replacements</w:t>
      </w:r>
    </w:p>
    <w:p w14:paraId="0C7FE2E2" w14:textId="03445FFC" w:rsidR="00123758" w:rsidRPr="00123758" w:rsidRDefault="00123758" w:rsidP="00123758">
      <w:pPr>
        <w:pStyle w:val="GIBulletXXX"/>
        <w:ind w:firstLine="720"/>
        <w:rPr>
          <w:rFonts w:ascii="Futura Bk BT" w:eastAsiaTheme="minorEastAsia" w:hAnsi="Futura Bk BT"/>
          <w:color w:val="000000"/>
          <w:sz w:val="19"/>
          <w:szCs w:val="19"/>
        </w:rPr>
      </w:pPr>
      <w:r>
        <w:rPr>
          <w:rFonts w:ascii="Futura Bk BT" w:eastAsiaTheme="minorEastAsia" w:hAnsi="Futura Bk BT"/>
          <w:color w:val="000000"/>
          <w:sz w:val="19"/>
          <w:szCs w:val="19"/>
        </w:rPr>
        <w:t xml:space="preserve">   </w:t>
      </w:r>
      <w:r w:rsidRPr="00123758">
        <w:rPr>
          <w:rFonts w:ascii="Futura Bk BT" w:eastAsiaTheme="minorEastAsia" w:hAnsi="Futura Bk BT"/>
          <w:color w:val="000000"/>
          <w:sz w:val="19"/>
          <w:szCs w:val="19"/>
        </w:rPr>
        <w:t>•</w:t>
      </w:r>
      <w:r w:rsidRPr="00123758">
        <w:rPr>
          <w:rFonts w:ascii="Futura Bk BT" w:eastAsiaTheme="minorEastAsia" w:hAnsi="Futura Bk BT"/>
          <w:color w:val="000000"/>
          <w:sz w:val="19"/>
          <w:szCs w:val="19"/>
        </w:rPr>
        <w:tab/>
        <w:t>Inner beauty concepts: hormones &amp; gu</w:t>
      </w:r>
      <w:r w:rsidR="00282B18">
        <w:rPr>
          <w:rFonts w:ascii="Futura Bk BT" w:eastAsiaTheme="minorEastAsia" w:hAnsi="Futura Bk BT"/>
          <w:color w:val="000000"/>
          <w:sz w:val="19"/>
          <w:szCs w:val="19"/>
        </w:rPr>
        <w:t>t</w:t>
      </w:r>
      <w:r w:rsidRPr="00123758">
        <w:rPr>
          <w:rFonts w:ascii="Futura Bk BT" w:eastAsiaTheme="minorEastAsia" w:hAnsi="Futura Bk BT"/>
          <w:color w:val="000000"/>
          <w:sz w:val="19"/>
          <w:szCs w:val="19"/>
        </w:rPr>
        <w:t xml:space="preserve"> bacteria</w:t>
      </w:r>
    </w:p>
    <w:p w14:paraId="212F9F97" w14:textId="3CCD623B" w:rsidR="00123758" w:rsidRPr="00123758" w:rsidRDefault="00123758" w:rsidP="00123758">
      <w:pPr>
        <w:pStyle w:val="GIBulletXXX"/>
        <w:ind w:firstLine="720"/>
        <w:rPr>
          <w:rFonts w:ascii="Futura Bk BT" w:eastAsiaTheme="minorEastAsia" w:hAnsi="Futura Bk BT"/>
          <w:color w:val="000000"/>
          <w:sz w:val="19"/>
          <w:szCs w:val="19"/>
        </w:rPr>
      </w:pPr>
      <w:r>
        <w:rPr>
          <w:rFonts w:ascii="Futura Bk BT" w:eastAsiaTheme="minorEastAsia" w:hAnsi="Futura Bk BT"/>
          <w:color w:val="000000"/>
          <w:sz w:val="19"/>
          <w:szCs w:val="19"/>
        </w:rPr>
        <w:t xml:space="preserve">   </w:t>
      </w:r>
      <w:r w:rsidRPr="00123758">
        <w:rPr>
          <w:rFonts w:ascii="Futura Bk BT" w:eastAsiaTheme="minorEastAsia" w:hAnsi="Futura Bk BT"/>
          <w:color w:val="000000"/>
          <w:sz w:val="19"/>
          <w:szCs w:val="19"/>
        </w:rPr>
        <w:t>•</w:t>
      </w:r>
      <w:r w:rsidRPr="00123758">
        <w:rPr>
          <w:rFonts w:ascii="Futura Bk BT" w:eastAsiaTheme="minorEastAsia" w:hAnsi="Futura Bk BT"/>
          <w:color w:val="000000"/>
          <w:sz w:val="19"/>
          <w:szCs w:val="19"/>
        </w:rPr>
        <w:tab/>
        <w:t>Microbiotic home cleaning</w:t>
      </w:r>
    </w:p>
    <w:p w14:paraId="3B0A3321" w14:textId="085B6401" w:rsidR="00123758" w:rsidRPr="00123758" w:rsidRDefault="00123758" w:rsidP="00123758">
      <w:pPr>
        <w:pStyle w:val="GIBulletXXX"/>
        <w:ind w:firstLine="720"/>
        <w:rPr>
          <w:rFonts w:ascii="Futura Bk BT" w:eastAsiaTheme="minorEastAsia" w:hAnsi="Futura Bk BT"/>
          <w:color w:val="000000"/>
          <w:sz w:val="19"/>
          <w:szCs w:val="19"/>
        </w:rPr>
      </w:pPr>
      <w:r>
        <w:rPr>
          <w:rFonts w:ascii="Futura Bk BT" w:eastAsiaTheme="minorEastAsia" w:hAnsi="Futura Bk BT"/>
          <w:color w:val="000000"/>
          <w:sz w:val="19"/>
          <w:szCs w:val="19"/>
        </w:rPr>
        <w:t xml:space="preserve">   </w:t>
      </w:r>
      <w:r w:rsidRPr="00123758">
        <w:rPr>
          <w:rFonts w:ascii="Futura Bk BT" w:eastAsiaTheme="minorEastAsia" w:hAnsi="Futura Bk BT"/>
          <w:color w:val="000000"/>
          <w:sz w:val="19"/>
          <w:szCs w:val="19"/>
        </w:rPr>
        <w:t>•</w:t>
      </w:r>
      <w:r w:rsidRPr="00123758">
        <w:rPr>
          <w:rFonts w:ascii="Futura Bk BT" w:eastAsiaTheme="minorEastAsia" w:hAnsi="Futura Bk BT"/>
          <w:color w:val="000000"/>
          <w:sz w:val="19"/>
          <w:szCs w:val="19"/>
        </w:rPr>
        <w:tab/>
        <w:t>Vertical farming</w:t>
      </w:r>
    </w:p>
    <w:p w14:paraId="11585993" w14:textId="752C047F" w:rsidR="00123758" w:rsidRPr="00123758" w:rsidRDefault="00123758" w:rsidP="00123758">
      <w:pPr>
        <w:pStyle w:val="GIBulletXXX"/>
        <w:ind w:firstLine="720"/>
        <w:rPr>
          <w:rFonts w:ascii="Futura Bk BT" w:eastAsiaTheme="minorEastAsia" w:hAnsi="Futura Bk BT"/>
          <w:color w:val="000000"/>
          <w:sz w:val="19"/>
          <w:szCs w:val="19"/>
        </w:rPr>
      </w:pPr>
      <w:r>
        <w:rPr>
          <w:rFonts w:ascii="Futura Bk BT" w:eastAsiaTheme="minorEastAsia" w:hAnsi="Futura Bk BT"/>
          <w:color w:val="000000"/>
          <w:sz w:val="19"/>
          <w:szCs w:val="19"/>
        </w:rPr>
        <w:t xml:space="preserve">   </w:t>
      </w:r>
      <w:r w:rsidRPr="00123758">
        <w:rPr>
          <w:rFonts w:ascii="Futura Bk BT" w:eastAsiaTheme="minorEastAsia" w:hAnsi="Futura Bk BT"/>
          <w:color w:val="000000"/>
          <w:sz w:val="19"/>
          <w:szCs w:val="19"/>
        </w:rPr>
        <w:t>•</w:t>
      </w:r>
      <w:r w:rsidRPr="00123758">
        <w:rPr>
          <w:rFonts w:ascii="Futura Bk BT" w:eastAsiaTheme="minorEastAsia" w:hAnsi="Futura Bk BT"/>
          <w:color w:val="000000"/>
          <w:sz w:val="19"/>
          <w:szCs w:val="19"/>
        </w:rPr>
        <w:tab/>
        <w:t>Carbon-free delivery</w:t>
      </w:r>
    </w:p>
    <w:p w14:paraId="0FC754E3" w14:textId="356186F3" w:rsidR="00123758" w:rsidRPr="00123758" w:rsidRDefault="00123758" w:rsidP="00123758">
      <w:pPr>
        <w:pStyle w:val="GIBulletXXX"/>
        <w:ind w:firstLine="720"/>
        <w:rPr>
          <w:rFonts w:ascii="Futura Bk BT" w:eastAsiaTheme="minorEastAsia" w:hAnsi="Futura Bk BT"/>
          <w:color w:val="000000"/>
          <w:sz w:val="19"/>
          <w:szCs w:val="19"/>
        </w:rPr>
      </w:pPr>
      <w:r>
        <w:rPr>
          <w:rFonts w:ascii="Futura Bk BT" w:eastAsiaTheme="minorEastAsia" w:hAnsi="Futura Bk BT"/>
          <w:color w:val="000000"/>
          <w:sz w:val="19"/>
          <w:szCs w:val="19"/>
        </w:rPr>
        <w:t xml:space="preserve">   </w:t>
      </w:r>
      <w:r w:rsidRPr="00123758">
        <w:rPr>
          <w:rFonts w:ascii="Futura Bk BT" w:eastAsiaTheme="minorEastAsia" w:hAnsi="Futura Bk BT"/>
          <w:color w:val="000000"/>
          <w:sz w:val="19"/>
          <w:szCs w:val="19"/>
        </w:rPr>
        <w:t>•</w:t>
      </w:r>
      <w:r w:rsidRPr="00123758">
        <w:rPr>
          <w:rFonts w:ascii="Futura Bk BT" w:eastAsiaTheme="minorEastAsia" w:hAnsi="Futura Bk BT"/>
          <w:color w:val="000000"/>
          <w:sz w:val="19"/>
          <w:szCs w:val="19"/>
        </w:rPr>
        <w:tab/>
        <w:t>Consumer-facing carbon control technology</w:t>
      </w:r>
    </w:p>
    <w:p w14:paraId="386F0FB2" w14:textId="06F9A239" w:rsidR="002A2ED5" w:rsidRPr="005476F3" w:rsidRDefault="00B072BB" w:rsidP="00350FBA">
      <w:pPr>
        <w:pStyle w:val="GIBulletXXX"/>
      </w:pPr>
      <w:r>
        <w:t xml:space="preserve">a. </w:t>
      </w:r>
      <w:r w:rsidR="002A2ED5" w:rsidRPr="005476F3">
        <w:t>What are the binding elements of the investment strategy used to select the investments to attain each of the environmental or social characteristics promoted by this financial product?</w:t>
      </w:r>
    </w:p>
    <w:p w14:paraId="18EB1EAF" w14:textId="4740AF90" w:rsidR="008A3E72" w:rsidRDefault="00030A24" w:rsidP="00E238DE">
      <w:pPr>
        <w:suppressAutoHyphens/>
        <w:ind w:left="0"/>
        <w:jc w:val="both"/>
      </w:pPr>
      <w:bookmarkStart w:id="0" w:name="_Hlk65332425"/>
      <w:r w:rsidRPr="005476F3">
        <w:t xml:space="preserve">The </w:t>
      </w:r>
      <w:r w:rsidR="00AF2F37">
        <w:t>Firm</w:t>
      </w:r>
      <w:r w:rsidRPr="005476F3">
        <w:t xml:space="preserve"> considers that sustainability factors, in particular climate change-related risks and opportunities (Climate), can have a material positive or negative impact on investment performance. Therefore, consideration of ESG issues is integral to the </w:t>
      </w:r>
      <w:r w:rsidR="00BF1DAA">
        <w:t>Firm's</w:t>
      </w:r>
      <w:r w:rsidRPr="005476F3">
        <w:t xml:space="preserve"> investment decision-making and investment management process</w:t>
      </w:r>
      <w:bookmarkEnd w:id="0"/>
      <w:r w:rsidR="00E238DE">
        <w:t>.</w:t>
      </w:r>
    </w:p>
    <w:p w14:paraId="0EB94945" w14:textId="77777777" w:rsidR="00E238DE" w:rsidRPr="005476F3" w:rsidRDefault="00E238DE" w:rsidP="00E238DE">
      <w:pPr>
        <w:suppressAutoHyphens/>
        <w:ind w:left="0"/>
        <w:jc w:val="both"/>
      </w:pPr>
    </w:p>
    <w:p w14:paraId="5C69642E" w14:textId="0F04CEB5" w:rsidR="00173356" w:rsidRPr="005476F3" w:rsidRDefault="00DD55C5" w:rsidP="009707FF">
      <w:pPr>
        <w:pStyle w:val="GIHeader5"/>
        <w:rPr>
          <w:color w:val="auto"/>
        </w:rPr>
      </w:pPr>
      <w:r w:rsidRPr="005476F3">
        <w:rPr>
          <w:color w:val="auto"/>
        </w:rPr>
        <w:t>Strategic Risk Framework</w:t>
      </w:r>
    </w:p>
    <w:p w14:paraId="6D8135BA" w14:textId="1C0E92AB" w:rsidR="00BD085A" w:rsidRDefault="00B33A11" w:rsidP="00BD085A">
      <w:pPr>
        <w:suppressAutoHyphens/>
        <w:ind w:left="0"/>
        <w:jc w:val="both"/>
        <w:rPr>
          <w:lang w:val="en-GB"/>
        </w:rPr>
      </w:pPr>
      <w:r w:rsidRPr="005476F3">
        <w:rPr>
          <w:lang w:val="en-GB"/>
        </w:rPr>
        <w:t xml:space="preserve">As a fiduciary, </w:t>
      </w:r>
      <w:r w:rsidR="00730316" w:rsidRPr="005476F3">
        <w:rPr>
          <w:lang w:val="en-GB"/>
        </w:rPr>
        <w:t>the</w:t>
      </w:r>
      <w:r w:rsidR="006363EF" w:rsidRPr="005476F3">
        <w:rPr>
          <w:lang w:val="en-GB"/>
        </w:rPr>
        <w:t xml:space="preserve"> </w:t>
      </w:r>
      <w:r w:rsidR="00C74DC5">
        <w:rPr>
          <w:lang w:val="en-GB"/>
        </w:rPr>
        <w:t>Firm</w:t>
      </w:r>
      <w:r w:rsidRPr="005476F3">
        <w:rPr>
          <w:lang w:val="en-GB"/>
        </w:rPr>
        <w:t xml:space="preserve"> operates within the defined investment spectrum between the “ESG bottom limit” and the “financial upper limit.” On one hand, </w:t>
      </w:r>
      <w:r w:rsidR="00730316" w:rsidRPr="005476F3">
        <w:rPr>
          <w:lang w:val="en-GB"/>
        </w:rPr>
        <w:t xml:space="preserve">the </w:t>
      </w:r>
      <w:r w:rsidR="00753854">
        <w:rPr>
          <w:lang w:val="en-GB"/>
        </w:rPr>
        <w:t>Firm</w:t>
      </w:r>
      <w:r w:rsidR="00753854" w:rsidRPr="005476F3">
        <w:rPr>
          <w:lang w:val="en-GB"/>
        </w:rPr>
        <w:t xml:space="preserve"> </w:t>
      </w:r>
      <w:r w:rsidRPr="005476F3">
        <w:rPr>
          <w:lang w:val="en-GB"/>
        </w:rPr>
        <w:t>always strive</w:t>
      </w:r>
      <w:r w:rsidR="00730316" w:rsidRPr="005476F3">
        <w:rPr>
          <w:lang w:val="en-GB"/>
        </w:rPr>
        <w:t>s</w:t>
      </w:r>
      <w:r w:rsidRPr="005476F3">
        <w:rPr>
          <w:lang w:val="en-GB"/>
        </w:rPr>
        <w:t xml:space="preserve"> to ensure an effective response to risk factors through critical exclusions and active ESG risk screening and management.</w:t>
      </w:r>
      <w:r w:rsidR="00D7654B" w:rsidRPr="005476F3">
        <w:rPr>
          <w:lang w:val="en-GB"/>
        </w:rPr>
        <w:t xml:space="preserve"> This includes ensuring that </w:t>
      </w:r>
      <w:r w:rsidR="00860C5B" w:rsidRPr="005476F3">
        <w:rPr>
          <w:lang w:val="en-GB"/>
        </w:rPr>
        <w:t xml:space="preserve">mitigation measures, such as improving carbon performance of the asset (Climate) or improvement of indoor environmental quality (People) are underwritten and embedded in the </w:t>
      </w:r>
      <w:r w:rsidR="00B44828">
        <w:rPr>
          <w:lang w:val="en-GB"/>
        </w:rPr>
        <w:t>investment</w:t>
      </w:r>
      <w:r w:rsidR="00860C5B" w:rsidRPr="005476F3">
        <w:rPr>
          <w:lang w:val="en-GB"/>
        </w:rPr>
        <w:t xml:space="preserve"> business plans</w:t>
      </w:r>
      <w:r w:rsidRPr="005476F3">
        <w:rPr>
          <w:lang w:val="en-GB"/>
        </w:rPr>
        <w:t>.</w:t>
      </w:r>
      <w:r w:rsidR="00860C5B" w:rsidRPr="005476F3">
        <w:rPr>
          <w:lang w:val="en-GB"/>
        </w:rPr>
        <w:t xml:space="preserve"> </w:t>
      </w:r>
      <w:r w:rsidR="00BD085A">
        <w:rPr>
          <w:lang w:val="en-GB"/>
        </w:rPr>
        <w:t xml:space="preserve">On the other hand, the </w:t>
      </w:r>
      <w:r w:rsidR="00D80997">
        <w:rPr>
          <w:lang w:val="en-GB"/>
        </w:rPr>
        <w:t xml:space="preserve">Firm </w:t>
      </w:r>
      <w:r w:rsidR="00BD085A">
        <w:rPr>
          <w:lang w:val="en-GB"/>
        </w:rPr>
        <w:t xml:space="preserve">actively pursues all opportunities to enhance value through green practices, to set and achieve ambitious targets to mitigate climate change (Climate) and effect positive social impact and support well-being of employees and personnel of our </w:t>
      </w:r>
      <w:r w:rsidR="00CE4818">
        <w:rPr>
          <w:lang w:val="en-GB"/>
        </w:rPr>
        <w:t>P</w:t>
      </w:r>
      <w:r w:rsidR="00BD085A">
        <w:rPr>
          <w:lang w:val="en-GB"/>
        </w:rPr>
        <w:t xml:space="preserve">ortfolio </w:t>
      </w:r>
      <w:r w:rsidR="00CE4818">
        <w:rPr>
          <w:lang w:val="en-GB"/>
        </w:rPr>
        <w:t>C</w:t>
      </w:r>
      <w:r w:rsidR="00BD085A">
        <w:rPr>
          <w:lang w:val="en-GB"/>
        </w:rPr>
        <w:t xml:space="preserve">ompanies (People), while delivering competitive risk-adjusted financial returns. </w:t>
      </w:r>
    </w:p>
    <w:p w14:paraId="194C7344" w14:textId="10F708E0" w:rsidR="009707FF" w:rsidRPr="005476F3" w:rsidRDefault="00BD085A" w:rsidP="00BD085A">
      <w:pPr>
        <w:suppressAutoHyphens/>
        <w:ind w:left="0"/>
        <w:jc w:val="both"/>
        <w:rPr>
          <w:lang w:val="en-GB"/>
        </w:rPr>
      </w:pPr>
      <w:r w:rsidRPr="005476F3">
        <w:rPr>
          <w:lang w:val="en-GB"/>
        </w:rPr>
        <w:t xml:space="preserve"> </w:t>
      </w:r>
      <w:r w:rsidR="009707FF" w:rsidRPr="005476F3">
        <w:rPr>
          <w:lang w:val="en-GB"/>
        </w:rPr>
        <w:t>INVESTMENT PLAN</w:t>
      </w:r>
    </w:p>
    <w:p w14:paraId="26DE8461" w14:textId="77777777" w:rsidR="008A1776" w:rsidRPr="005476F3" w:rsidRDefault="00C67F2D" w:rsidP="009756E6">
      <w:pPr>
        <w:suppressAutoHyphens/>
        <w:ind w:left="0"/>
        <w:jc w:val="both"/>
      </w:pPr>
      <w:r w:rsidRPr="005476F3">
        <w:t xml:space="preserve">The purpose of the investment plan is to set out the key objectives for the portfolio in the forthcoming year, based on the current portfolio composition and past performance, revised forecasts for each asset in the portfolio based on the latest market forecasts, and the latest tactical recommendations. Investment plans are prepared for all mandates and formally adopted through annual business plans by the relevant Investment Committee. </w:t>
      </w:r>
    </w:p>
    <w:p w14:paraId="1D2C7A23" w14:textId="1BD419BB" w:rsidR="00C67F2D" w:rsidRPr="005476F3" w:rsidRDefault="00C67F2D" w:rsidP="009756E6">
      <w:pPr>
        <w:suppressAutoHyphens/>
        <w:ind w:left="0"/>
        <w:jc w:val="both"/>
      </w:pPr>
      <w:r w:rsidRPr="005476F3">
        <w:t xml:space="preserve">The Fund’s plan includes a portfolio-level ESG strategy to achieve </w:t>
      </w:r>
      <w:r w:rsidR="00B379E4" w:rsidRPr="005476F3">
        <w:t xml:space="preserve">an </w:t>
      </w:r>
      <w:r w:rsidR="008A1776" w:rsidRPr="005476F3">
        <w:t>“I</w:t>
      </w:r>
      <w:r w:rsidRPr="005476F3">
        <w:t>ntegrated</w:t>
      </w:r>
      <w:r w:rsidR="008A1776" w:rsidRPr="005476F3">
        <w:t>”</w:t>
      </w:r>
      <w:r w:rsidRPr="005476F3">
        <w:t xml:space="preserve"> level of ESG maturity.</w:t>
      </w:r>
    </w:p>
    <w:p w14:paraId="17B9F649" w14:textId="7A49F466" w:rsidR="002A2ED5" w:rsidRPr="005476F3" w:rsidRDefault="0028184A" w:rsidP="00350FBA">
      <w:pPr>
        <w:pStyle w:val="GIBulletXXX"/>
      </w:pPr>
      <w:r>
        <w:t xml:space="preserve">b. </w:t>
      </w:r>
      <w:r w:rsidR="00C67F2D" w:rsidRPr="005476F3">
        <w:t>H</w:t>
      </w:r>
      <w:r w:rsidR="002A2ED5" w:rsidRPr="005476F3">
        <w:t>ow is that strategy implemented in the investment process on a continuous basis?</w:t>
      </w:r>
    </w:p>
    <w:p w14:paraId="73DE0C0E" w14:textId="2222098E" w:rsidR="008A3E72" w:rsidRPr="005476F3" w:rsidRDefault="008A3E72" w:rsidP="008A3E72">
      <w:pPr>
        <w:pStyle w:val="GIHeader5"/>
        <w:rPr>
          <w:color w:val="auto"/>
          <w:lang w:val="en-GB"/>
        </w:rPr>
      </w:pPr>
      <w:r w:rsidRPr="005476F3">
        <w:rPr>
          <w:color w:val="auto"/>
          <w:lang w:val="en-GB"/>
        </w:rPr>
        <w:t>INVESTMENT SELECTION</w:t>
      </w:r>
    </w:p>
    <w:p w14:paraId="48ED74F7" w14:textId="7946E377" w:rsidR="005F096F" w:rsidRPr="005476F3" w:rsidRDefault="005F096F" w:rsidP="009756E6">
      <w:pPr>
        <w:suppressAutoHyphens/>
        <w:ind w:left="0"/>
        <w:jc w:val="both"/>
      </w:pPr>
      <w:r w:rsidRPr="005476F3">
        <w:t>Investment selection follows a structured process through selection, review, and approval. The</w:t>
      </w:r>
      <w:r w:rsidR="00763CF7" w:rsidRPr="005476F3">
        <w:t xml:space="preserve"> </w:t>
      </w:r>
      <w:r w:rsidR="000D59A1" w:rsidRPr="005476F3">
        <w:t xml:space="preserve">Fund’s </w:t>
      </w:r>
      <w:r w:rsidRPr="005476F3">
        <w:t>Investment Committee</w:t>
      </w:r>
      <w:r w:rsidR="008710EF" w:rsidRPr="005476F3">
        <w:t xml:space="preserve"> (the "</w:t>
      </w:r>
      <w:r w:rsidR="008710EF" w:rsidRPr="005476F3">
        <w:rPr>
          <w:b/>
          <w:bCs/>
        </w:rPr>
        <w:t>IC</w:t>
      </w:r>
      <w:r w:rsidR="008710EF" w:rsidRPr="005476F3">
        <w:t>")</w:t>
      </w:r>
      <w:r w:rsidRPr="005476F3">
        <w:t xml:space="preserve"> </w:t>
      </w:r>
      <w:r w:rsidR="008710EF" w:rsidRPr="005476F3">
        <w:t>has the</w:t>
      </w:r>
      <w:r w:rsidRPr="005476F3">
        <w:t xml:space="preserve"> objective of delivering </w:t>
      </w:r>
      <w:r w:rsidR="008710EF" w:rsidRPr="005476F3">
        <w:t>the Fund</w:t>
      </w:r>
      <w:r w:rsidRPr="005476F3">
        <w:t>’s target return within a pre-defined strategic risk framework</w:t>
      </w:r>
      <w:r w:rsidR="008710EF" w:rsidRPr="005476F3">
        <w:t xml:space="preserve"> and considering the environmental and social characteristics that it promotes</w:t>
      </w:r>
      <w:r w:rsidRPr="005476F3">
        <w:t xml:space="preserve">. </w:t>
      </w:r>
      <w:r w:rsidR="008710EF" w:rsidRPr="005476F3">
        <w:t xml:space="preserve">The </w:t>
      </w:r>
      <w:r w:rsidRPr="005476F3">
        <w:t>I</w:t>
      </w:r>
      <w:r w:rsidR="008710EF" w:rsidRPr="005476F3">
        <w:t>C</w:t>
      </w:r>
      <w:r w:rsidRPr="005476F3">
        <w:t xml:space="preserve">’s membership </w:t>
      </w:r>
      <w:r w:rsidR="008710EF" w:rsidRPr="005476F3">
        <w:t xml:space="preserve">may </w:t>
      </w:r>
      <w:r w:rsidRPr="005476F3">
        <w:t xml:space="preserve">include a representative from the </w:t>
      </w:r>
      <w:r w:rsidR="00763CF7" w:rsidRPr="005476F3">
        <w:t xml:space="preserve">Firm’s </w:t>
      </w:r>
      <w:r w:rsidRPr="005476F3">
        <w:t xml:space="preserve">ESG </w:t>
      </w:r>
      <w:r w:rsidR="00955C25" w:rsidRPr="005476F3">
        <w:t>t</w:t>
      </w:r>
      <w:r w:rsidRPr="005476F3">
        <w:t>eam, providing insight and oversight on relevant topics.</w:t>
      </w:r>
    </w:p>
    <w:p w14:paraId="58AD0C95" w14:textId="464CEF28" w:rsidR="005F096F" w:rsidRPr="005476F3" w:rsidRDefault="005F096F" w:rsidP="009756E6">
      <w:pPr>
        <w:suppressAutoHyphens/>
        <w:ind w:left="0"/>
        <w:jc w:val="both"/>
      </w:pPr>
      <w:r w:rsidRPr="005476F3">
        <w:t xml:space="preserve">IC approval for any acquisition is </w:t>
      </w:r>
      <w:r w:rsidR="004C6398" w:rsidRPr="005476F3">
        <w:t xml:space="preserve">staggered </w:t>
      </w:r>
      <w:r w:rsidRPr="005476F3">
        <w:t>in</w:t>
      </w:r>
      <w:r w:rsidR="004C6398" w:rsidRPr="005476F3">
        <w:t>to</w:t>
      </w:r>
      <w:r w:rsidRPr="005476F3">
        <w:t xml:space="preserve"> two</w:t>
      </w:r>
      <w:r w:rsidR="004C6398" w:rsidRPr="005476F3">
        <w:t xml:space="preserve"> distinct</w:t>
      </w:r>
      <w:r w:rsidRPr="005476F3">
        <w:t xml:space="preserve"> stages:</w:t>
      </w:r>
    </w:p>
    <w:p w14:paraId="01C89CB4" w14:textId="287D1EB3" w:rsidR="005F096F" w:rsidRPr="005476F3" w:rsidRDefault="004C6398" w:rsidP="004C6398">
      <w:pPr>
        <w:pStyle w:val="GIBodyBullets1"/>
        <w:numPr>
          <w:ilvl w:val="0"/>
          <w:numId w:val="17"/>
        </w:numPr>
        <w:spacing w:before="0" w:after="120"/>
        <w:jc w:val="both"/>
        <w:rPr>
          <w:color w:val="auto"/>
        </w:rPr>
      </w:pPr>
      <w:r w:rsidRPr="005476F3">
        <w:rPr>
          <w:color w:val="auto"/>
        </w:rPr>
        <w:t>P</w:t>
      </w:r>
      <w:r w:rsidR="005F096F" w:rsidRPr="005476F3">
        <w:rPr>
          <w:color w:val="auto"/>
        </w:rPr>
        <w:t xml:space="preserve">re-due diligence (pre-DD), when </w:t>
      </w:r>
      <w:r w:rsidR="006363EF" w:rsidRPr="005476F3">
        <w:rPr>
          <w:color w:val="auto"/>
        </w:rPr>
        <w:t xml:space="preserve">initial </w:t>
      </w:r>
      <w:r w:rsidR="005F096F" w:rsidRPr="005476F3">
        <w:rPr>
          <w:color w:val="auto"/>
        </w:rPr>
        <w:t xml:space="preserve">ESG screening is considered, and </w:t>
      </w:r>
    </w:p>
    <w:p w14:paraId="08306070" w14:textId="01D4A706" w:rsidR="005F096F" w:rsidRPr="005476F3" w:rsidRDefault="005F096F" w:rsidP="004C6398">
      <w:pPr>
        <w:pStyle w:val="GIBodyBullets1"/>
        <w:numPr>
          <w:ilvl w:val="0"/>
          <w:numId w:val="17"/>
        </w:numPr>
        <w:spacing w:before="0" w:after="120"/>
        <w:jc w:val="both"/>
        <w:rPr>
          <w:color w:val="auto"/>
        </w:rPr>
      </w:pPr>
      <w:r w:rsidRPr="005476F3">
        <w:rPr>
          <w:color w:val="auto"/>
        </w:rPr>
        <w:t>post-due diligence (final approval) when due diligence results and any post-acquisition measures/underwriting are considered.</w:t>
      </w:r>
    </w:p>
    <w:p w14:paraId="4C648BBA" w14:textId="7D472DBC" w:rsidR="006363EF" w:rsidRPr="005476F3" w:rsidRDefault="008710EF" w:rsidP="006363EF">
      <w:pPr>
        <w:ind w:left="0"/>
        <w:jc w:val="both"/>
      </w:pPr>
      <w:r w:rsidRPr="005476F3">
        <w:t xml:space="preserve">The </w:t>
      </w:r>
      <w:r w:rsidR="006363EF" w:rsidRPr="005476F3">
        <w:t xml:space="preserve">IC considers the findings of the due diligence screening and analysis during the investment selection process. The IC seeks to apply an asset-class specific set of criteria when evaluating assets and key counterparties. </w:t>
      </w:r>
    </w:p>
    <w:p w14:paraId="42F06143" w14:textId="620416F7" w:rsidR="005F096F" w:rsidRPr="005476F3" w:rsidRDefault="006363EF" w:rsidP="006363EF">
      <w:pPr>
        <w:suppressAutoHyphens/>
        <w:ind w:left="0"/>
        <w:jc w:val="both"/>
      </w:pPr>
      <w:r w:rsidRPr="005476F3">
        <w:t xml:space="preserve">This information is presented in each IC deck and as appropriate for the </w:t>
      </w:r>
      <w:r w:rsidR="00EB766F">
        <w:t>investment</w:t>
      </w:r>
      <w:r w:rsidRPr="005476F3">
        <w:t xml:space="preserve"> and </w:t>
      </w:r>
      <w:r w:rsidR="00EB766F">
        <w:t>relevant</w:t>
      </w:r>
      <w:r w:rsidRPr="005476F3">
        <w:t xml:space="preserve"> strategy.</w:t>
      </w:r>
    </w:p>
    <w:p w14:paraId="5240175B" w14:textId="77777777" w:rsidR="00A07E69" w:rsidRDefault="00A07E69" w:rsidP="00A07E69">
      <w:pPr>
        <w:pStyle w:val="GIHeader5"/>
        <w:rPr>
          <w:color w:val="auto"/>
          <w:lang w:val="en-GB"/>
        </w:rPr>
      </w:pPr>
      <w:r w:rsidRPr="00A07E69">
        <w:rPr>
          <w:color w:val="auto"/>
          <w:lang w:val="en-GB"/>
        </w:rPr>
        <w:t>PORTFOLIO COMPANIES</w:t>
      </w:r>
      <w:r>
        <w:rPr>
          <w:color w:val="auto"/>
          <w:lang w:val="en-GB"/>
        </w:rPr>
        <w:t xml:space="preserve"> </w:t>
      </w:r>
    </w:p>
    <w:p w14:paraId="4658AC50" w14:textId="440E6ED6" w:rsidR="00F80CAD" w:rsidRPr="00F80CAD" w:rsidRDefault="00F80CAD" w:rsidP="00F80CAD">
      <w:pPr>
        <w:pStyle w:val="GIBulletXXX"/>
        <w:rPr>
          <w:rFonts w:asciiTheme="minorHAnsi" w:eastAsiaTheme="minorEastAsia" w:hAnsiTheme="minorHAnsi" w:cstheme="minorBidi"/>
          <w:sz w:val="19"/>
          <w:szCs w:val="19"/>
        </w:rPr>
      </w:pPr>
      <w:r w:rsidRPr="00F80CAD">
        <w:rPr>
          <w:rFonts w:asciiTheme="minorHAnsi" w:eastAsiaTheme="minorEastAsia" w:hAnsiTheme="minorHAnsi" w:cstheme="minorBidi"/>
          <w:sz w:val="19"/>
          <w:szCs w:val="19"/>
        </w:rPr>
        <w:t xml:space="preserve">Once a </w:t>
      </w:r>
      <w:r w:rsidR="00586073">
        <w:rPr>
          <w:rFonts w:asciiTheme="minorHAnsi" w:eastAsiaTheme="minorEastAsia" w:hAnsiTheme="minorHAnsi" w:cstheme="minorBidi"/>
          <w:sz w:val="19"/>
          <w:szCs w:val="19"/>
        </w:rPr>
        <w:t>P</w:t>
      </w:r>
      <w:r w:rsidRPr="00F80CAD">
        <w:rPr>
          <w:rFonts w:asciiTheme="minorHAnsi" w:eastAsiaTheme="minorEastAsia" w:hAnsiTheme="minorHAnsi" w:cstheme="minorBidi"/>
          <w:sz w:val="19"/>
          <w:szCs w:val="19"/>
        </w:rPr>
        <w:t xml:space="preserve">ortfolio </w:t>
      </w:r>
      <w:r w:rsidR="00586073">
        <w:rPr>
          <w:rFonts w:asciiTheme="minorHAnsi" w:eastAsiaTheme="minorEastAsia" w:hAnsiTheme="minorHAnsi" w:cstheme="minorBidi"/>
          <w:sz w:val="19"/>
          <w:szCs w:val="19"/>
        </w:rPr>
        <w:t>C</w:t>
      </w:r>
      <w:r w:rsidRPr="00F80CAD">
        <w:rPr>
          <w:rFonts w:asciiTheme="minorHAnsi" w:eastAsiaTheme="minorEastAsia" w:hAnsiTheme="minorHAnsi" w:cstheme="minorBidi"/>
          <w:sz w:val="19"/>
          <w:szCs w:val="19"/>
        </w:rPr>
        <w:t>ompany has been acquired, Green Generation:</w:t>
      </w:r>
    </w:p>
    <w:p w14:paraId="52D74D95" w14:textId="712C6DDE" w:rsidR="00F80CAD" w:rsidRPr="00330488" w:rsidRDefault="00F80CAD" w:rsidP="00330488">
      <w:pPr>
        <w:pStyle w:val="GIHeader5"/>
        <w:ind w:left="720"/>
        <w:rPr>
          <w:rFonts w:asciiTheme="minorHAnsi" w:hAnsiTheme="minorHAnsi" w:cstheme="minorBidi"/>
          <w:caps w:val="0"/>
          <w:color w:val="auto"/>
        </w:rPr>
      </w:pPr>
      <w:r w:rsidRPr="00330488">
        <w:rPr>
          <w:rFonts w:asciiTheme="minorHAnsi" w:hAnsiTheme="minorHAnsi" w:cstheme="minorBidi"/>
          <w:caps w:val="0"/>
          <w:color w:val="auto"/>
        </w:rPr>
        <w:t xml:space="preserve">• </w:t>
      </w:r>
      <w:r w:rsidR="00010DE3" w:rsidRPr="00330488">
        <w:rPr>
          <w:rFonts w:asciiTheme="minorHAnsi" w:hAnsiTheme="minorHAnsi" w:cstheme="minorBidi"/>
          <w:caps w:val="0"/>
          <w:color w:val="auto"/>
        </w:rPr>
        <w:t>implements</w:t>
      </w:r>
      <w:r w:rsidRPr="00330488">
        <w:rPr>
          <w:rFonts w:asciiTheme="minorHAnsi" w:hAnsiTheme="minorHAnsi" w:cstheme="minorBidi"/>
          <w:caps w:val="0"/>
          <w:color w:val="auto"/>
        </w:rPr>
        <w:t xml:space="preserve"> its</w:t>
      </w:r>
      <w:r w:rsidRPr="00F80CAD">
        <w:rPr>
          <w:rFonts w:asciiTheme="minorHAnsi" w:hAnsiTheme="minorHAnsi" w:cstheme="minorBidi"/>
        </w:rPr>
        <w:t xml:space="preserve"> </w:t>
      </w:r>
      <w:r w:rsidR="00010DE3" w:rsidRPr="00330488">
        <w:rPr>
          <w:rFonts w:asciiTheme="minorHAnsi" w:hAnsiTheme="minorHAnsi" w:cstheme="minorBidi"/>
          <w:caps w:val="0"/>
          <w:color w:val="auto"/>
        </w:rPr>
        <w:t>bespoke</w:t>
      </w:r>
      <w:r w:rsidRPr="00330488">
        <w:rPr>
          <w:rFonts w:asciiTheme="minorHAnsi" w:hAnsiTheme="minorHAnsi" w:cstheme="minorBidi"/>
          <w:caps w:val="0"/>
          <w:color w:val="auto"/>
        </w:rPr>
        <w:t xml:space="preserve"> ESG </w:t>
      </w:r>
      <w:r w:rsidR="00010DE3" w:rsidRPr="00330488">
        <w:rPr>
          <w:rFonts w:asciiTheme="minorHAnsi" w:hAnsiTheme="minorHAnsi" w:cstheme="minorBidi"/>
          <w:caps w:val="0"/>
          <w:color w:val="auto"/>
        </w:rPr>
        <w:t>policies</w:t>
      </w:r>
      <w:r w:rsidRPr="00330488">
        <w:rPr>
          <w:rFonts w:asciiTheme="minorHAnsi" w:hAnsiTheme="minorHAnsi" w:cstheme="minorBidi"/>
          <w:caps w:val="0"/>
          <w:color w:val="auto"/>
        </w:rPr>
        <w:t xml:space="preserve"> as part of the </w:t>
      </w:r>
      <w:r w:rsidR="00010DE3" w:rsidRPr="00330488">
        <w:rPr>
          <w:rFonts w:asciiTheme="minorHAnsi" w:hAnsiTheme="minorHAnsi" w:cstheme="minorBidi"/>
          <w:caps w:val="0"/>
          <w:color w:val="auto"/>
        </w:rPr>
        <w:t>full delivered package</w:t>
      </w:r>
      <w:r w:rsidRPr="00330488">
        <w:rPr>
          <w:rFonts w:asciiTheme="minorHAnsi" w:hAnsiTheme="minorHAnsi" w:cstheme="minorBidi"/>
          <w:caps w:val="0"/>
          <w:color w:val="auto"/>
        </w:rPr>
        <w:t xml:space="preserve"> </w:t>
      </w:r>
      <w:r w:rsidR="00010DE3" w:rsidRPr="00330488">
        <w:rPr>
          <w:rFonts w:asciiTheme="minorHAnsi" w:hAnsiTheme="minorHAnsi" w:cstheme="minorBidi"/>
          <w:caps w:val="0"/>
          <w:color w:val="auto"/>
        </w:rPr>
        <w:t>so as to build</w:t>
      </w:r>
      <w:r w:rsidRPr="00330488">
        <w:rPr>
          <w:rFonts w:asciiTheme="minorHAnsi" w:hAnsiTheme="minorHAnsi" w:cstheme="minorBidi"/>
          <w:caps w:val="0"/>
          <w:color w:val="auto"/>
        </w:rPr>
        <w:t xml:space="preserve"> </w:t>
      </w:r>
      <w:r w:rsidR="00010DE3" w:rsidRPr="00330488">
        <w:rPr>
          <w:rFonts w:asciiTheme="minorHAnsi" w:hAnsiTheme="minorHAnsi" w:cstheme="minorBidi"/>
          <w:caps w:val="0"/>
          <w:color w:val="auto"/>
        </w:rPr>
        <w:t xml:space="preserve">and strengthen </w:t>
      </w:r>
      <w:r w:rsidRPr="00330488">
        <w:rPr>
          <w:rFonts w:asciiTheme="minorHAnsi" w:hAnsiTheme="minorHAnsi" w:cstheme="minorBidi"/>
          <w:caps w:val="0"/>
          <w:color w:val="auto"/>
        </w:rPr>
        <w:t xml:space="preserve">strategic ESG </w:t>
      </w:r>
      <w:r w:rsidR="00010DE3" w:rsidRPr="00330488">
        <w:rPr>
          <w:rFonts w:asciiTheme="minorHAnsi" w:hAnsiTheme="minorHAnsi" w:cstheme="minorBidi"/>
          <w:caps w:val="0"/>
          <w:color w:val="auto"/>
        </w:rPr>
        <w:t xml:space="preserve">initiatives </w:t>
      </w:r>
      <w:r w:rsidRPr="00330488">
        <w:rPr>
          <w:rFonts w:asciiTheme="minorHAnsi" w:hAnsiTheme="minorHAnsi" w:cstheme="minorBidi"/>
          <w:caps w:val="0"/>
          <w:color w:val="auto"/>
        </w:rPr>
        <w:t xml:space="preserve">with </w:t>
      </w:r>
      <w:r w:rsidR="00010DE3" w:rsidRPr="00330488">
        <w:rPr>
          <w:rFonts w:asciiTheme="minorHAnsi" w:hAnsiTheme="minorHAnsi" w:cstheme="minorBidi"/>
          <w:caps w:val="0"/>
          <w:color w:val="auto"/>
        </w:rPr>
        <w:t>regular, timely</w:t>
      </w:r>
      <w:r w:rsidRPr="00330488">
        <w:rPr>
          <w:rFonts w:asciiTheme="minorHAnsi" w:hAnsiTheme="minorHAnsi" w:cstheme="minorBidi"/>
          <w:caps w:val="0"/>
          <w:color w:val="auto"/>
        </w:rPr>
        <w:t xml:space="preserve"> </w:t>
      </w:r>
      <w:r w:rsidR="00010DE3" w:rsidRPr="00330488">
        <w:rPr>
          <w:rFonts w:asciiTheme="minorHAnsi" w:hAnsiTheme="minorHAnsi" w:cstheme="minorBidi"/>
          <w:caps w:val="0"/>
          <w:color w:val="auto"/>
        </w:rPr>
        <w:t>enterprise</w:t>
      </w:r>
      <w:r w:rsidRPr="00330488">
        <w:rPr>
          <w:rFonts w:asciiTheme="minorHAnsi" w:hAnsiTheme="minorHAnsi" w:cstheme="minorBidi"/>
          <w:caps w:val="0"/>
          <w:color w:val="auto"/>
        </w:rPr>
        <w:t xml:space="preserve">-wide ESG </w:t>
      </w:r>
      <w:r w:rsidR="00DF2D73" w:rsidRPr="00330488">
        <w:rPr>
          <w:rFonts w:asciiTheme="minorHAnsi" w:hAnsiTheme="minorHAnsi" w:cstheme="minorBidi"/>
          <w:caps w:val="0"/>
          <w:color w:val="auto"/>
        </w:rPr>
        <w:t>milestones</w:t>
      </w:r>
      <w:r w:rsidRPr="00330488">
        <w:rPr>
          <w:rFonts w:asciiTheme="minorHAnsi" w:hAnsiTheme="minorHAnsi" w:cstheme="minorBidi"/>
          <w:caps w:val="0"/>
          <w:color w:val="auto"/>
        </w:rPr>
        <w:t xml:space="preserve">; </w:t>
      </w:r>
    </w:p>
    <w:p w14:paraId="28C822C6" w14:textId="2745104E" w:rsidR="00F80CAD" w:rsidRPr="00330488" w:rsidRDefault="00F80CAD" w:rsidP="00330488">
      <w:pPr>
        <w:pStyle w:val="GIHeader5"/>
        <w:ind w:left="720"/>
        <w:rPr>
          <w:rFonts w:asciiTheme="minorHAnsi" w:hAnsiTheme="minorHAnsi" w:cstheme="minorBidi"/>
          <w:caps w:val="0"/>
          <w:color w:val="auto"/>
        </w:rPr>
      </w:pPr>
      <w:r w:rsidRPr="00330488">
        <w:rPr>
          <w:rFonts w:asciiTheme="minorHAnsi" w:hAnsiTheme="minorHAnsi" w:cstheme="minorBidi"/>
          <w:caps w:val="0"/>
          <w:color w:val="auto"/>
        </w:rPr>
        <w:t xml:space="preserve">• ensures the appropriate </w:t>
      </w:r>
      <w:r w:rsidR="005F275F" w:rsidRPr="00330488">
        <w:rPr>
          <w:rFonts w:asciiTheme="minorHAnsi" w:hAnsiTheme="minorHAnsi" w:cstheme="minorBidi"/>
          <w:caps w:val="0"/>
          <w:color w:val="auto"/>
        </w:rPr>
        <w:t>delegation</w:t>
      </w:r>
      <w:r w:rsidRPr="00330488">
        <w:rPr>
          <w:rFonts w:asciiTheme="minorHAnsi" w:hAnsiTheme="minorHAnsi" w:cstheme="minorBidi"/>
          <w:caps w:val="0"/>
          <w:color w:val="auto"/>
        </w:rPr>
        <w:t xml:space="preserve"> of</w:t>
      </w:r>
      <w:r w:rsidR="005F275F" w:rsidRPr="00330488">
        <w:rPr>
          <w:rFonts w:asciiTheme="minorHAnsi" w:hAnsiTheme="minorHAnsi" w:cstheme="minorBidi"/>
          <w:caps w:val="0"/>
          <w:color w:val="auto"/>
        </w:rPr>
        <w:t xml:space="preserve"> </w:t>
      </w:r>
      <w:r w:rsidRPr="00330488">
        <w:rPr>
          <w:rFonts w:asciiTheme="minorHAnsi" w:hAnsiTheme="minorHAnsi" w:cstheme="minorBidi"/>
          <w:caps w:val="0"/>
          <w:color w:val="auto"/>
        </w:rPr>
        <w:t>ESG</w:t>
      </w:r>
      <w:r w:rsidR="005F275F" w:rsidRPr="00330488">
        <w:rPr>
          <w:rFonts w:asciiTheme="minorHAnsi" w:hAnsiTheme="minorHAnsi" w:cstheme="minorBidi"/>
          <w:caps w:val="0"/>
          <w:color w:val="auto"/>
        </w:rPr>
        <w:t>-related tasks and roles</w:t>
      </w:r>
      <w:r w:rsidRPr="00330488">
        <w:rPr>
          <w:rFonts w:asciiTheme="minorHAnsi" w:hAnsiTheme="minorHAnsi" w:cstheme="minorBidi"/>
          <w:caps w:val="0"/>
          <w:color w:val="auto"/>
        </w:rPr>
        <w:t xml:space="preserve">; </w:t>
      </w:r>
    </w:p>
    <w:p w14:paraId="20EAD103" w14:textId="04885FC0" w:rsidR="00F80CAD" w:rsidRPr="00330488" w:rsidRDefault="00F80CAD" w:rsidP="00330488">
      <w:pPr>
        <w:pStyle w:val="GIHeader5"/>
        <w:ind w:left="720"/>
        <w:rPr>
          <w:rFonts w:asciiTheme="minorHAnsi" w:hAnsiTheme="minorHAnsi" w:cstheme="minorBidi"/>
          <w:caps w:val="0"/>
          <w:color w:val="auto"/>
        </w:rPr>
      </w:pPr>
      <w:r w:rsidRPr="00330488">
        <w:rPr>
          <w:rFonts w:asciiTheme="minorHAnsi" w:hAnsiTheme="minorHAnsi" w:cstheme="minorBidi"/>
          <w:caps w:val="0"/>
          <w:color w:val="auto"/>
        </w:rPr>
        <w:t xml:space="preserve">• works in </w:t>
      </w:r>
      <w:r w:rsidR="00A83D5D" w:rsidRPr="00330488">
        <w:rPr>
          <w:rFonts w:asciiTheme="minorHAnsi" w:hAnsiTheme="minorHAnsi" w:cstheme="minorBidi"/>
          <w:caps w:val="0"/>
          <w:color w:val="auto"/>
        </w:rPr>
        <w:t>parallel</w:t>
      </w:r>
      <w:r w:rsidRPr="00330488">
        <w:rPr>
          <w:rFonts w:asciiTheme="minorHAnsi" w:hAnsiTheme="minorHAnsi" w:cstheme="minorBidi"/>
          <w:caps w:val="0"/>
          <w:color w:val="auto"/>
        </w:rPr>
        <w:t xml:space="preserve"> with </w:t>
      </w:r>
      <w:r w:rsidR="00E20E29">
        <w:rPr>
          <w:rFonts w:asciiTheme="minorHAnsi" w:hAnsiTheme="minorHAnsi" w:cstheme="minorBidi"/>
          <w:caps w:val="0"/>
          <w:color w:val="auto"/>
        </w:rPr>
        <w:t>P</w:t>
      </w:r>
      <w:r w:rsidRPr="00330488">
        <w:rPr>
          <w:rFonts w:asciiTheme="minorHAnsi" w:hAnsiTheme="minorHAnsi" w:cstheme="minorBidi"/>
          <w:caps w:val="0"/>
          <w:color w:val="auto"/>
        </w:rPr>
        <w:t xml:space="preserve">ortfolio </w:t>
      </w:r>
      <w:r w:rsidR="00E20E29">
        <w:rPr>
          <w:rFonts w:asciiTheme="minorHAnsi" w:hAnsiTheme="minorHAnsi" w:cstheme="minorBidi"/>
          <w:caps w:val="0"/>
          <w:color w:val="auto"/>
        </w:rPr>
        <w:t>C</w:t>
      </w:r>
      <w:r w:rsidRPr="00330488">
        <w:rPr>
          <w:rFonts w:asciiTheme="minorHAnsi" w:hAnsiTheme="minorHAnsi" w:cstheme="minorBidi"/>
          <w:caps w:val="0"/>
          <w:color w:val="auto"/>
        </w:rPr>
        <w:t xml:space="preserve">ompany management </w:t>
      </w:r>
      <w:r w:rsidR="00A83D5D" w:rsidRPr="00330488">
        <w:rPr>
          <w:rFonts w:asciiTheme="minorHAnsi" w:hAnsiTheme="minorHAnsi" w:cstheme="minorBidi"/>
          <w:caps w:val="0"/>
          <w:color w:val="auto"/>
        </w:rPr>
        <w:t>members so as to align and provide guidance</w:t>
      </w:r>
      <w:r w:rsidRPr="00330488">
        <w:rPr>
          <w:rFonts w:asciiTheme="minorHAnsi" w:hAnsiTheme="minorHAnsi" w:cstheme="minorBidi"/>
          <w:caps w:val="0"/>
          <w:color w:val="auto"/>
        </w:rPr>
        <w:t xml:space="preserve"> on the most </w:t>
      </w:r>
      <w:r w:rsidR="00A83D5D" w:rsidRPr="00330488">
        <w:rPr>
          <w:rFonts w:asciiTheme="minorHAnsi" w:hAnsiTheme="minorHAnsi" w:cstheme="minorBidi"/>
          <w:caps w:val="0"/>
          <w:color w:val="auto"/>
        </w:rPr>
        <w:t>imperative</w:t>
      </w:r>
      <w:r w:rsidRPr="00330488">
        <w:rPr>
          <w:rFonts w:asciiTheme="minorHAnsi" w:hAnsiTheme="minorHAnsi" w:cstheme="minorBidi"/>
          <w:caps w:val="0"/>
          <w:color w:val="auto"/>
        </w:rPr>
        <w:t xml:space="preserve"> ESG factors</w:t>
      </w:r>
      <w:r w:rsidR="00A83D5D" w:rsidRPr="00330488">
        <w:rPr>
          <w:rFonts w:asciiTheme="minorHAnsi" w:hAnsiTheme="minorHAnsi" w:cstheme="minorBidi"/>
          <w:caps w:val="0"/>
          <w:color w:val="auto"/>
        </w:rPr>
        <w:t xml:space="preserve"> and metrics which will encourage sustainable</w:t>
      </w:r>
      <w:r w:rsidRPr="00330488">
        <w:rPr>
          <w:rFonts w:asciiTheme="minorHAnsi" w:hAnsiTheme="minorHAnsi" w:cstheme="minorBidi"/>
          <w:caps w:val="0"/>
          <w:color w:val="auto"/>
        </w:rPr>
        <w:t xml:space="preserve"> </w:t>
      </w:r>
      <w:r w:rsidR="00A83D5D" w:rsidRPr="00330488">
        <w:rPr>
          <w:rFonts w:asciiTheme="minorHAnsi" w:hAnsiTheme="minorHAnsi" w:cstheme="minorBidi"/>
          <w:caps w:val="0"/>
          <w:color w:val="auto"/>
        </w:rPr>
        <w:t>operational</w:t>
      </w:r>
      <w:r w:rsidRPr="00330488">
        <w:rPr>
          <w:rFonts w:asciiTheme="minorHAnsi" w:hAnsiTheme="minorHAnsi" w:cstheme="minorBidi"/>
          <w:caps w:val="0"/>
          <w:color w:val="auto"/>
        </w:rPr>
        <w:t xml:space="preserve"> </w:t>
      </w:r>
      <w:r w:rsidR="00A83D5D" w:rsidRPr="00330488">
        <w:rPr>
          <w:rFonts w:asciiTheme="minorHAnsi" w:hAnsiTheme="minorHAnsi" w:cstheme="minorBidi"/>
          <w:caps w:val="0"/>
          <w:color w:val="auto"/>
        </w:rPr>
        <w:t>habits</w:t>
      </w:r>
      <w:r w:rsidRPr="00330488">
        <w:rPr>
          <w:rFonts w:asciiTheme="minorHAnsi" w:hAnsiTheme="minorHAnsi" w:cstheme="minorBidi"/>
          <w:caps w:val="0"/>
          <w:color w:val="auto"/>
        </w:rPr>
        <w:t xml:space="preserve">; </w:t>
      </w:r>
    </w:p>
    <w:p w14:paraId="6B6113B7" w14:textId="486D42EF" w:rsidR="00F80CAD" w:rsidRPr="00330488" w:rsidRDefault="00F80CAD" w:rsidP="00330488">
      <w:pPr>
        <w:pStyle w:val="GIHeader5"/>
        <w:ind w:left="720"/>
        <w:rPr>
          <w:rFonts w:asciiTheme="minorHAnsi" w:hAnsiTheme="minorHAnsi" w:cstheme="minorBidi"/>
          <w:caps w:val="0"/>
          <w:color w:val="auto"/>
        </w:rPr>
      </w:pPr>
      <w:r w:rsidRPr="00330488">
        <w:rPr>
          <w:rFonts w:asciiTheme="minorHAnsi" w:hAnsiTheme="minorHAnsi" w:cstheme="minorBidi"/>
          <w:caps w:val="0"/>
          <w:color w:val="auto"/>
        </w:rPr>
        <w:t xml:space="preserve">• provides </w:t>
      </w:r>
      <w:r w:rsidR="004713F3" w:rsidRPr="00330488">
        <w:rPr>
          <w:rFonts w:asciiTheme="minorHAnsi" w:hAnsiTheme="minorHAnsi" w:cstheme="minorBidi"/>
          <w:caps w:val="0"/>
          <w:color w:val="auto"/>
        </w:rPr>
        <w:t>direct advice and expertise</w:t>
      </w:r>
      <w:r w:rsidRPr="00330488">
        <w:rPr>
          <w:rFonts w:asciiTheme="minorHAnsi" w:hAnsiTheme="minorHAnsi" w:cstheme="minorBidi"/>
          <w:caps w:val="0"/>
          <w:color w:val="auto"/>
        </w:rPr>
        <w:t xml:space="preserve"> to </w:t>
      </w:r>
      <w:r w:rsidR="00E60F13">
        <w:rPr>
          <w:rFonts w:asciiTheme="minorHAnsi" w:hAnsiTheme="minorHAnsi" w:cstheme="minorBidi"/>
          <w:caps w:val="0"/>
          <w:color w:val="auto"/>
        </w:rPr>
        <w:t>P</w:t>
      </w:r>
      <w:r w:rsidRPr="00330488">
        <w:rPr>
          <w:rFonts w:asciiTheme="minorHAnsi" w:hAnsiTheme="minorHAnsi" w:cstheme="minorBidi"/>
          <w:caps w:val="0"/>
          <w:color w:val="auto"/>
        </w:rPr>
        <w:t xml:space="preserve">ortfolio </w:t>
      </w:r>
      <w:r w:rsidR="00E60F13">
        <w:rPr>
          <w:rFonts w:asciiTheme="minorHAnsi" w:hAnsiTheme="minorHAnsi" w:cstheme="minorBidi"/>
          <w:caps w:val="0"/>
          <w:color w:val="auto"/>
        </w:rPr>
        <w:t>C</w:t>
      </w:r>
      <w:r w:rsidRPr="00330488">
        <w:rPr>
          <w:rFonts w:asciiTheme="minorHAnsi" w:hAnsiTheme="minorHAnsi" w:cstheme="minorBidi"/>
          <w:caps w:val="0"/>
          <w:color w:val="auto"/>
        </w:rPr>
        <w:t xml:space="preserve">ompanies </w:t>
      </w:r>
      <w:r w:rsidR="004713F3" w:rsidRPr="00330488">
        <w:rPr>
          <w:rFonts w:asciiTheme="minorHAnsi" w:hAnsiTheme="minorHAnsi" w:cstheme="minorBidi"/>
          <w:caps w:val="0"/>
          <w:color w:val="auto"/>
        </w:rPr>
        <w:t>so as to monitor and track</w:t>
      </w:r>
      <w:r w:rsidRPr="00330488">
        <w:rPr>
          <w:rFonts w:asciiTheme="minorHAnsi" w:hAnsiTheme="minorHAnsi" w:cstheme="minorBidi"/>
          <w:caps w:val="0"/>
          <w:color w:val="auto"/>
        </w:rPr>
        <w:t xml:space="preserve"> their ESG performance; </w:t>
      </w:r>
    </w:p>
    <w:p w14:paraId="063E3318" w14:textId="04C074D7" w:rsidR="00F80CAD" w:rsidRPr="00330488" w:rsidRDefault="00F80CAD" w:rsidP="00330488">
      <w:pPr>
        <w:pStyle w:val="GIHeader5"/>
        <w:ind w:left="720"/>
        <w:rPr>
          <w:rFonts w:asciiTheme="minorHAnsi" w:hAnsiTheme="minorHAnsi" w:cstheme="minorBidi"/>
          <w:caps w:val="0"/>
          <w:color w:val="auto"/>
        </w:rPr>
      </w:pPr>
      <w:r w:rsidRPr="00330488">
        <w:rPr>
          <w:rFonts w:asciiTheme="minorHAnsi" w:hAnsiTheme="minorHAnsi" w:cstheme="minorBidi"/>
          <w:caps w:val="0"/>
          <w:color w:val="auto"/>
        </w:rPr>
        <w:t xml:space="preserve">• </w:t>
      </w:r>
      <w:r w:rsidR="00EA649F" w:rsidRPr="00330488">
        <w:rPr>
          <w:rFonts w:asciiTheme="minorHAnsi" w:hAnsiTheme="minorHAnsi" w:cstheme="minorBidi"/>
          <w:caps w:val="0"/>
          <w:color w:val="auto"/>
        </w:rPr>
        <w:t>promotes accessibility</w:t>
      </w:r>
      <w:r w:rsidRPr="00330488">
        <w:rPr>
          <w:rFonts w:asciiTheme="minorHAnsi" w:hAnsiTheme="minorHAnsi" w:cstheme="minorBidi"/>
          <w:caps w:val="0"/>
          <w:color w:val="auto"/>
        </w:rPr>
        <w:t xml:space="preserve"> </w:t>
      </w:r>
      <w:r w:rsidR="00EA649F" w:rsidRPr="00330488">
        <w:rPr>
          <w:rFonts w:asciiTheme="minorHAnsi" w:hAnsiTheme="minorHAnsi" w:cstheme="minorBidi"/>
          <w:caps w:val="0"/>
          <w:color w:val="auto"/>
        </w:rPr>
        <w:t>of information with respect to</w:t>
      </w:r>
      <w:r w:rsidRPr="00330488">
        <w:rPr>
          <w:rFonts w:asciiTheme="minorHAnsi" w:hAnsiTheme="minorHAnsi" w:cstheme="minorBidi"/>
          <w:caps w:val="0"/>
          <w:color w:val="auto"/>
        </w:rPr>
        <w:t xml:space="preserve"> </w:t>
      </w:r>
      <w:r w:rsidR="00E60F13">
        <w:rPr>
          <w:rFonts w:asciiTheme="minorHAnsi" w:hAnsiTheme="minorHAnsi" w:cstheme="minorBidi"/>
          <w:caps w:val="0"/>
          <w:color w:val="auto"/>
        </w:rPr>
        <w:t>P</w:t>
      </w:r>
      <w:r w:rsidRPr="00330488">
        <w:rPr>
          <w:rFonts w:asciiTheme="minorHAnsi" w:hAnsiTheme="minorHAnsi" w:cstheme="minorBidi"/>
          <w:caps w:val="0"/>
          <w:color w:val="auto"/>
        </w:rPr>
        <w:t xml:space="preserve">ortfolio </w:t>
      </w:r>
      <w:r w:rsidR="00E60F13">
        <w:rPr>
          <w:rFonts w:asciiTheme="minorHAnsi" w:hAnsiTheme="minorHAnsi" w:cstheme="minorBidi"/>
          <w:caps w:val="0"/>
          <w:color w:val="auto"/>
        </w:rPr>
        <w:t>C</w:t>
      </w:r>
      <w:r w:rsidRPr="00330488">
        <w:rPr>
          <w:rFonts w:asciiTheme="minorHAnsi" w:hAnsiTheme="minorHAnsi" w:cstheme="minorBidi"/>
          <w:caps w:val="0"/>
          <w:color w:val="auto"/>
        </w:rPr>
        <w:t xml:space="preserve">ompanies </w:t>
      </w:r>
      <w:r w:rsidR="00EA649F" w:rsidRPr="00330488">
        <w:rPr>
          <w:rFonts w:asciiTheme="minorHAnsi" w:hAnsiTheme="minorHAnsi" w:cstheme="minorBidi"/>
          <w:caps w:val="0"/>
          <w:color w:val="auto"/>
        </w:rPr>
        <w:t xml:space="preserve">by having an open line of communication </w:t>
      </w:r>
      <w:r w:rsidR="00D5727D">
        <w:rPr>
          <w:rFonts w:asciiTheme="minorHAnsi" w:hAnsiTheme="minorHAnsi" w:cstheme="minorBidi"/>
          <w:caps w:val="0"/>
          <w:color w:val="auto"/>
        </w:rPr>
        <w:t xml:space="preserve">and accountability </w:t>
      </w:r>
      <w:r w:rsidR="00EA649F" w:rsidRPr="00330488">
        <w:rPr>
          <w:rFonts w:asciiTheme="minorHAnsi" w:hAnsiTheme="minorHAnsi" w:cstheme="minorBidi"/>
          <w:caps w:val="0"/>
          <w:color w:val="auto"/>
        </w:rPr>
        <w:t>for ESG issues at all times</w:t>
      </w:r>
      <w:r w:rsidRPr="00330488">
        <w:rPr>
          <w:rFonts w:asciiTheme="minorHAnsi" w:hAnsiTheme="minorHAnsi" w:cstheme="minorBidi"/>
          <w:caps w:val="0"/>
          <w:color w:val="auto"/>
        </w:rPr>
        <w:t xml:space="preserve">; </w:t>
      </w:r>
      <w:r w:rsidR="00330488">
        <w:rPr>
          <w:rFonts w:asciiTheme="minorHAnsi" w:hAnsiTheme="minorHAnsi" w:cstheme="minorBidi"/>
          <w:caps w:val="0"/>
          <w:color w:val="auto"/>
        </w:rPr>
        <w:t xml:space="preserve">and </w:t>
      </w:r>
    </w:p>
    <w:p w14:paraId="4D48244E" w14:textId="618FCE97" w:rsidR="008D12CB" w:rsidRDefault="00F80CAD" w:rsidP="008D12CB">
      <w:pPr>
        <w:pStyle w:val="GIHeader5"/>
        <w:ind w:left="720"/>
        <w:rPr>
          <w:rFonts w:asciiTheme="minorHAnsi" w:hAnsiTheme="minorHAnsi" w:cstheme="minorBidi"/>
          <w:caps w:val="0"/>
          <w:color w:val="auto"/>
        </w:rPr>
      </w:pPr>
      <w:r w:rsidRPr="00330488">
        <w:rPr>
          <w:rFonts w:asciiTheme="minorHAnsi" w:hAnsiTheme="minorHAnsi" w:cstheme="minorBidi"/>
          <w:caps w:val="0"/>
          <w:color w:val="auto"/>
        </w:rPr>
        <w:t xml:space="preserve">• </w:t>
      </w:r>
      <w:r w:rsidR="00FE42CB" w:rsidRPr="00330488">
        <w:rPr>
          <w:rFonts w:asciiTheme="minorHAnsi" w:hAnsiTheme="minorHAnsi" w:cstheme="minorBidi"/>
          <w:caps w:val="0"/>
          <w:color w:val="auto"/>
        </w:rPr>
        <w:t>mandates</w:t>
      </w:r>
      <w:r w:rsidRPr="00330488">
        <w:rPr>
          <w:rFonts w:asciiTheme="minorHAnsi" w:hAnsiTheme="minorHAnsi" w:cstheme="minorBidi"/>
          <w:caps w:val="0"/>
          <w:color w:val="auto"/>
        </w:rPr>
        <w:t xml:space="preserve"> </w:t>
      </w:r>
      <w:r w:rsidR="00470C26">
        <w:rPr>
          <w:rFonts w:asciiTheme="minorHAnsi" w:hAnsiTheme="minorHAnsi" w:cstheme="minorBidi"/>
          <w:caps w:val="0"/>
          <w:color w:val="auto"/>
        </w:rPr>
        <w:t>P</w:t>
      </w:r>
      <w:r w:rsidRPr="00330488">
        <w:rPr>
          <w:rFonts w:asciiTheme="minorHAnsi" w:hAnsiTheme="minorHAnsi" w:cstheme="minorBidi"/>
          <w:caps w:val="0"/>
          <w:color w:val="auto"/>
        </w:rPr>
        <w:t xml:space="preserve">ortfolio </w:t>
      </w:r>
      <w:r w:rsidR="00470C26">
        <w:rPr>
          <w:rFonts w:asciiTheme="minorHAnsi" w:hAnsiTheme="minorHAnsi" w:cstheme="minorBidi"/>
          <w:caps w:val="0"/>
          <w:color w:val="auto"/>
        </w:rPr>
        <w:t>C</w:t>
      </w:r>
      <w:r w:rsidRPr="00330488">
        <w:rPr>
          <w:rFonts w:asciiTheme="minorHAnsi" w:hAnsiTheme="minorHAnsi" w:cstheme="minorBidi"/>
          <w:caps w:val="0"/>
          <w:color w:val="auto"/>
        </w:rPr>
        <w:t xml:space="preserve">ompanies to report </w:t>
      </w:r>
      <w:r w:rsidR="00FE42CB" w:rsidRPr="00330488">
        <w:rPr>
          <w:rFonts w:asciiTheme="minorHAnsi" w:hAnsiTheme="minorHAnsi" w:cstheme="minorBidi"/>
          <w:caps w:val="0"/>
          <w:color w:val="auto"/>
        </w:rPr>
        <w:t xml:space="preserve">and track </w:t>
      </w:r>
      <w:r w:rsidRPr="00330488">
        <w:rPr>
          <w:rFonts w:asciiTheme="minorHAnsi" w:hAnsiTheme="minorHAnsi" w:cstheme="minorBidi"/>
          <w:caps w:val="0"/>
          <w:color w:val="auto"/>
        </w:rPr>
        <w:t xml:space="preserve">their principal adverse impacts and ESG performance. </w:t>
      </w:r>
    </w:p>
    <w:p w14:paraId="64F55FFA" w14:textId="77777777" w:rsidR="008D12CB" w:rsidRDefault="008D12CB" w:rsidP="008D12CB">
      <w:pPr>
        <w:pStyle w:val="GIHeader5"/>
        <w:ind w:left="720"/>
        <w:rPr>
          <w:rFonts w:asciiTheme="minorHAnsi" w:hAnsiTheme="minorHAnsi" w:cstheme="minorBidi"/>
          <w:caps w:val="0"/>
          <w:color w:val="auto"/>
        </w:rPr>
      </w:pPr>
    </w:p>
    <w:p w14:paraId="39547AAD" w14:textId="1789D3D4" w:rsidR="006C17F3" w:rsidRPr="0087277E" w:rsidRDefault="006C17F3" w:rsidP="006C17F3">
      <w:pPr>
        <w:pStyle w:val="GIHeader5"/>
        <w:rPr>
          <w:rFonts w:asciiTheme="minorHAnsi" w:hAnsiTheme="minorHAnsi" w:cstheme="minorBidi"/>
          <w:caps w:val="0"/>
          <w:color w:val="auto"/>
        </w:rPr>
      </w:pPr>
      <w:r>
        <w:rPr>
          <w:rFonts w:asciiTheme="minorHAnsi" w:hAnsiTheme="minorHAnsi" w:cstheme="minorBidi"/>
          <w:caps w:val="0"/>
          <w:color w:val="auto"/>
        </w:rPr>
        <w:t xml:space="preserve">The Firm shall also duly consider ESG impact in its exit strategies. </w:t>
      </w:r>
    </w:p>
    <w:p w14:paraId="542A0118" w14:textId="40D4A790" w:rsidR="002A2ED5" w:rsidRPr="005476F3" w:rsidRDefault="00347B29" w:rsidP="00F80CAD">
      <w:pPr>
        <w:pStyle w:val="GIBulletXXX"/>
      </w:pPr>
      <w:r>
        <w:t xml:space="preserve">c. </w:t>
      </w:r>
      <w:r w:rsidR="002A2ED5" w:rsidRPr="005476F3">
        <w:t xml:space="preserve">What is the committed minimum rate to reduce the scope of the investments considered prior to the application of that investment strategy? </w:t>
      </w:r>
    </w:p>
    <w:p w14:paraId="534F0A75" w14:textId="530B05D0" w:rsidR="00A86F1E" w:rsidRPr="005476F3" w:rsidRDefault="00087C90" w:rsidP="00391A96">
      <w:pPr>
        <w:suppressAutoHyphens/>
        <w:ind w:left="0"/>
        <w:rPr>
          <w:lang w:val="en-GB"/>
        </w:rPr>
      </w:pPr>
      <w:r w:rsidRPr="005476F3">
        <w:rPr>
          <w:lang w:val="en-GB"/>
        </w:rPr>
        <w:t>N</w:t>
      </w:r>
      <w:r w:rsidR="00391A96" w:rsidRPr="005476F3">
        <w:rPr>
          <w:lang w:val="en-GB"/>
        </w:rPr>
        <w:t>ot applicable</w:t>
      </w:r>
      <w:r w:rsidR="0066768E" w:rsidRPr="005476F3">
        <w:rPr>
          <w:lang w:val="en-GB"/>
        </w:rPr>
        <w:t>.</w:t>
      </w:r>
    </w:p>
    <w:p w14:paraId="6A78E6DC" w14:textId="28FDEDAC" w:rsidR="002A2ED5" w:rsidRPr="005476F3" w:rsidRDefault="00347B29" w:rsidP="00350FBA">
      <w:pPr>
        <w:pStyle w:val="GIBulletXXX"/>
      </w:pPr>
      <w:r>
        <w:t xml:space="preserve">d. </w:t>
      </w:r>
      <w:r w:rsidR="002A2ED5" w:rsidRPr="005476F3">
        <w:t>What is the policy to assess good governance practices of the investee companies?</w:t>
      </w:r>
    </w:p>
    <w:p w14:paraId="4E09810B" w14:textId="1DAD1008" w:rsidR="007A2850" w:rsidRPr="005F5E90" w:rsidRDefault="008F6BBC" w:rsidP="000A466B">
      <w:pPr>
        <w:pStyle w:val="GIHeader5"/>
        <w:rPr>
          <w:rFonts w:asciiTheme="minorHAnsi" w:hAnsiTheme="minorHAnsi" w:cstheme="minorBidi"/>
          <w:caps w:val="0"/>
          <w:color w:val="auto"/>
        </w:rPr>
      </w:pPr>
      <w:r>
        <w:rPr>
          <w:rFonts w:asciiTheme="minorHAnsi" w:hAnsiTheme="minorHAnsi" w:cstheme="minorBidi"/>
          <w:caps w:val="0"/>
          <w:color w:val="auto"/>
        </w:rPr>
        <w:t xml:space="preserve">Green Generation </w:t>
      </w:r>
      <w:r w:rsidR="00215BC9">
        <w:rPr>
          <w:rFonts w:asciiTheme="minorHAnsi" w:hAnsiTheme="minorHAnsi" w:cstheme="minorBidi"/>
          <w:caps w:val="0"/>
          <w:color w:val="auto"/>
        </w:rPr>
        <w:t>use</w:t>
      </w:r>
      <w:r>
        <w:rPr>
          <w:rFonts w:asciiTheme="minorHAnsi" w:hAnsiTheme="minorHAnsi" w:cstheme="minorBidi"/>
          <w:caps w:val="0"/>
          <w:color w:val="auto"/>
        </w:rPr>
        <w:t>s</w:t>
      </w:r>
      <w:r w:rsidR="00215BC9">
        <w:rPr>
          <w:rFonts w:asciiTheme="minorHAnsi" w:hAnsiTheme="minorHAnsi" w:cstheme="minorBidi"/>
          <w:caps w:val="0"/>
          <w:color w:val="auto"/>
        </w:rPr>
        <w:t xml:space="preserve"> a</w:t>
      </w:r>
      <w:r w:rsidR="00CE16F9">
        <w:rPr>
          <w:rFonts w:asciiTheme="minorHAnsi" w:hAnsiTheme="minorHAnsi" w:cstheme="minorBidi"/>
          <w:caps w:val="0"/>
          <w:color w:val="auto"/>
        </w:rPr>
        <w:t>n</w:t>
      </w:r>
      <w:r w:rsidR="00215BC9">
        <w:rPr>
          <w:rFonts w:asciiTheme="minorHAnsi" w:hAnsiTheme="minorHAnsi" w:cstheme="minorBidi"/>
          <w:caps w:val="0"/>
          <w:color w:val="auto"/>
        </w:rPr>
        <w:t xml:space="preserve"> ESG Monitoring Checklist</w:t>
      </w:r>
      <w:r w:rsidR="00FB7A4B">
        <w:rPr>
          <w:rFonts w:asciiTheme="minorHAnsi" w:hAnsiTheme="minorHAnsi" w:cstheme="minorBidi"/>
          <w:caps w:val="0"/>
          <w:color w:val="auto"/>
        </w:rPr>
        <w:t xml:space="preserve"> so as to assess the good governance practises of the investee companies</w:t>
      </w:r>
      <w:r w:rsidR="00AE3C5E" w:rsidRPr="005F5E90">
        <w:rPr>
          <w:rFonts w:asciiTheme="minorHAnsi" w:hAnsiTheme="minorHAnsi" w:cstheme="minorBidi"/>
          <w:caps w:val="0"/>
          <w:color w:val="auto"/>
        </w:rPr>
        <w:t xml:space="preserve">. </w:t>
      </w:r>
      <w:r w:rsidR="005719E5">
        <w:rPr>
          <w:rFonts w:asciiTheme="minorHAnsi" w:hAnsiTheme="minorHAnsi" w:cstheme="minorBidi"/>
          <w:caps w:val="0"/>
          <w:color w:val="auto"/>
        </w:rPr>
        <w:t xml:space="preserve">The </w:t>
      </w:r>
      <w:r w:rsidR="005878A5">
        <w:rPr>
          <w:rFonts w:asciiTheme="minorHAnsi" w:hAnsiTheme="minorHAnsi" w:cstheme="minorBidi"/>
          <w:caps w:val="0"/>
          <w:color w:val="auto"/>
        </w:rPr>
        <w:t xml:space="preserve">contemplated </w:t>
      </w:r>
      <w:r w:rsidR="005719E5">
        <w:rPr>
          <w:rFonts w:asciiTheme="minorHAnsi" w:hAnsiTheme="minorHAnsi" w:cstheme="minorBidi"/>
          <w:caps w:val="0"/>
          <w:color w:val="auto"/>
        </w:rPr>
        <w:t>action plans within such a checklist include the following:</w:t>
      </w:r>
    </w:p>
    <w:p w14:paraId="3F0F0541" w14:textId="3C346195" w:rsidR="005878A5" w:rsidRPr="00B35283" w:rsidRDefault="005878A5" w:rsidP="00B35283">
      <w:pPr>
        <w:pStyle w:val="GIHeader5"/>
        <w:ind w:left="720"/>
        <w:rPr>
          <w:rFonts w:asciiTheme="minorHAnsi" w:hAnsiTheme="minorHAnsi" w:cstheme="minorBidi"/>
          <w:caps w:val="0"/>
          <w:color w:val="auto"/>
        </w:rPr>
      </w:pPr>
      <w:r w:rsidRPr="00B35283">
        <w:rPr>
          <w:rFonts w:asciiTheme="minorHAnsi" w:hAnsiTheme="minorHAnsi" w:cstheme="minorBidi"/>
          <w:caps w:val="0"/>
          <w:color w:val="auto"/>
        </w:rPr>
        <w:t xml:space="preserve">• </w:t>
      </w:r>
      <w:r w:rsidR="00B35283">
        <w:rPr>
          <w:rFonts w:asciiTheme="minorHAnsi" w:hAnsiTheme="minorHAnsi" w:cstheme="minorBidi"/>
          <w:caps w:val="0"/>
          <w:color w:val="auto"/>
        </w:rPr>
        <w:t>Green Generation</w:t>
      </w:r>
      <w:r w:rsidRPr="00B35283">
        <w:rPr>
          <w:rFonts w:asciiTheme="minorHAnsi" w:hAnsiTheme="minorHAnsi" w:cstheme="minorBidi"/>
          <w:caps w:val="0"/>
          <w:color w:val="auto"/>
        </w:rPr>
        <w:t xml:space="preserve"> appoints a coordinator to advise and assist the board of each Portfolio Company to develop and maintain relevant ESG action plans.</w:t>
      </w:r>
    </w:p>
    <w:p w14:paraId="4C763EB7" w14:textId="55CDEBFE" w:rsidR="00DF616A" w:rsidRPr="00B35283" w:rsidRDefault="005878A5" w:rsidP="00B35283">
      <w:pPr>
        <w:pStyle w:val="GIHeader5"/>
        <w:ind w:left="720"/>
        <w:rPr>
          <w:rFonts w:asciiTheme="minorHAnsi" w:hAnsiTheme="minorHAnsi" w:cstheme="minorBidi"/>
          <w:caps w:val="0"/>
          <w:color w:val="auto"/>
        </w:rPr>
      </w:pPr>
      <w:r w:rsidRPr="00B35283">
        <w:rPr>
          <w:rFonts w:asciiTheme="minorHAnsi" w:hAnsiTheme="minorHAnsi" w:cstheme="minorBidi"/>
          <w:caps w:val="0"/>
          <w:color w:val="auto"/>
        </w:rPr>
        <w:t xml:space="preserve">• </w:t>
      </w:r>
      <w:r w:rsidR="00DF616A" w:rsidRPr="00B35283">
        <w:rPr>
          <w:rFonts w:asciiTheme="minorHAnsi" w:hAnsiTheme="minorHAnsi" w:cstheme="minorBidi"/>
          <w:caps w:val="0"/>
          <w:color w:val="auto"/>
        </w:rPr>
        <w:t xml:space="preserve">The board of each Portfolio Company reports to </w:t>
      </w:r>
      <w:r w:rsidR="00C54AFC">
        <w:rPr>
          <w:rFonts w:asciiTheme="minorHAnsi" w:hAnsiTheme="minorHAnsi" w:cstheme="minorBidi"/>
          <w:caps w:val="0"/>
          <w:color w:val="auto"/>
        </w:rPr>
        <w:t>Green Generation</w:t>
      </w:r>
      <w:r w:rsidR="00DF616A" w:rsidRPr="00B35283">
        <w:rPr>
          <w:rFonts w:asciiTheme="minorHAnsi" w:hAnsiTheme="minorHAnsi" w:cstheme="minorBidi"/>
          <w:caps w:val="0"/>
          <w:color w:val="auto"/>
        </w:rPr>
        <w:t xml:space="preserve"> at least </w:t>
      </w:r>
      <w:r w:rsidR="00DF7EEA">
        <w:rPr>
          <w:rFonts w:asciiTheme="minorHAnsi" w:hAnsiTheme="minorHAnsi" w:cstheme="minorBidi"/>
          <w:caps w:val="0"/>
          <w:color w:val="auto"/>
        </w:rPr>
        <w:t>quarterly</w:t>
      </w:r>
      <w:r w:rsidR="00DF616A" w:rsidRPr="00B35283">
        <w:rPr>
          <w:rFonts w:asciiTheme="minorHAnsi" w:hAnsiTheme="minorHAnsi" w:cstheme="minorBidi"/>
          <w:caps w:val="0"/>
          <w:color w:val="auto"/>
        </w:rPr>
        <w:t xml:space="preserve"> regarding progress in the ESG action plan and ESG generally.</w:t>
      </w:r>
    </w:p>
    <w:p w14:paraId="58061194" w14:textId="0531101E" w:rsidR="00991556" w:rsidRPr="00B35283" w:rsidRDefault="005878A5" w:rsidP="00B35283">
      <w:pPr>
        <w:pStyle w:val="GIHeader5"/>
        <w:ind w:left="720"/>
        <w:rPr>
          <w:rFonts w:asciiTheme="minorHAnsi" w:hAnsiTheme="minorHAnsi" w:cstheme="minorBidi"/>
          <w:caps w:val="0"/>
          <w:color w:val="auto"/>
        </w:rPr>
      </w:pPr>
      <w:r w:rsidRPr="00B35283">
        <w:rPr>
          <w:rFonts w:asciiTheme="minorHAnsi" w:hAnsiTheme="minorHAnsi" w:cstheme="minorBidi"/>
          <w:caps w:val="0"/>
          <w:color w:val="auto"/>
        </w:rPr>
        <w:t xml:space="preserve">• </w:t>
      </w:r>
      <w:r w:rsidR="00C54AFC">
        <w:rPr>
          <w:rFonts w:asciiTheme="minorHAnsi" w:hAnsiTheme="minorHAnsi" w:cstheme="minorBidi"/>
          <w:caps w:val="0"/>
          <w:color w:val="auto"/>
        </w:rPr>
        <w:t>Green Generation</w:t>
      </w:r>
      <w:r w:rsidR="00C54AFC" w:rsidRPr="00B35283">
        <w:rPr>
          <w:rFonts w:asciiTheme="minorHAnsi" w:hAnsiTheme="minorHAnsi" w:cstheme="minorBidi"/>
          <w:caps w:val="0"/>
          <w:color w:val="auto"/>
        </w:rPr>
        <w:t xml:space="preserve"> </w:t>
      </w:r>
      <w:r w:rsidR="00991556" w:rsidRPr="00B35283">
        <w:rPr>
          <w:rFonts w:asciiTheme="minorHAnsi" w:hAnsiTheme="minorHAnsi" w:cstheme="minorBidi"/>
          <w:caps w:val="0"/>
          <w:color w:val="auto"/>
        </w:rPr>
        <w:t>reviews implementation progress of the ESG action plan for each Portfolio Company.</w:t>
      </w:r>
    </w:p>
    <w:p w14:paraId="0C2BB67D" w14:textId="3C88D29D" w:rsidR="00991556" w:rsidRPr="00B35283" w:rsidRDefault="005878A5" w:rsidP="00B35283">
      <w:pPr>
        <w:pStyle w:val="GIHeader5"/>
        <w:ind w:left="720"/>
        <w:rPr>
          <w:rFonts w:asciiTheme="minorHAnsi" w:hAnsiTheme="minorHAnsi" w:cstheme="minorBidi"/>
          <w:caps w:val="0"/>
          <w:color w:val="auto"/>
        </w:rPr>
      </w:pPr>
      <w:r w:rsidRPr="00B35283">
        <w:rPr>
          <w:rFonts w:asciiTheme="minorHAnsi" w:hAnsiTheme="minorHAnsi" w:cstheme="minorBidi"/>
          <w:caps w:val="0"/>
          <w:color w:val="auto"/>
        </w:rPr>
        <w:t xml:space="preserve">• </w:t>
      </w:r>
      <w:r w:rsidR="00C54AFC">
        <w:rPr>
          <w:rFonts w:asciiTheme="minorHAnsi" w:hAnsiTheme="minorHAnsi" w:cstheme="minorBidi"/>
          <w:caps w:val="0"/>
          <w:color w:val="auto"/>
        </w:rPr>
        <w:t>Green Generation</w:t>
      </w:r>
      <w:r w:rsidR="00C54AFC" w:rsidRPr="00B35283">
        <w:rPr>
          <w:rFonts w:asciiTheme="minorHAnsi" w:hAnsiTheme="minorHAnsi" w:cstheme="minorBidi"/>
          <w:caps w:val="0"/>
          <w:color w:val="auto"/>
        </w:rPr>
        <w:t xml:space="preserve"> </w:t>
      </w:r>
      <w:r w:rsidR="00991556" w:rsidRPr="00B35283">
        <w:rPr>
          <w:rFonts w:asciiTheme="minorHAnsi" w:hAnsiTheme="minorHAnsi" w:cstheme="minorBidi"/>
          <w:caps w:val="0"/>
          <w:color w:val="auto"/>
        </w:rPr>
        <w:t>reviews current ESG incidents for each Portfolio Company (as reported by each Portfolio Company coordinator).</w:t>
      </w:r>
    </w:p>
    <w:p w14:paraId="0126DED0" w14:textId="14DFF347" w:rsidR="00B35283" w:rsidRPr="00B35283" w:rsidRDefault="005878A5" w:rsidP="00B35283">
      <w:pPr>
        <w:pStyle w:val="GIHeader5"/>
        <w:ind w:left="720"/>
        <w:rPr>
          <w:rFonts w:asciiTheme="minorHAnsi" w:hAnsiTheme="minorHAnsi" w:cstheme="minorBidi"/>
          <w:caps w:val="0"/>
          <w:color w:val="auto"/>
        </w:rPr>
      </w:pPr>
      <w:r w:rsidRPr="00B35283">
        <w:rPr>
          <w:rFonts w:asciiTheme="minorHAnsi" w:hAnsiTheme="minorHAnsi" w:cstheme="minorBidi"/>
          <w:caps w:val="0"/>
          <w:color w:val="auto"/>
        </w:rPr>
        <w:t xml:space="preserve">• </w:t>
      </w:r>
      <w:r w:rsidR="00C54AFC">
        <w:rPr>
          <w:rFonts w:asciiTheme="minorHAnsi" w:hAnsiTheme="minorHAnsi" w:cstheme="minorBidi"/>
          <w:caps w:val="0"/>
          <w:color w:val="auto"/>
        </w:rPr>
        <w:t>Green Generation</w:t>
      </w:r>
      <w:r w:rsidR="00C54AFC" w:rsidRPr="00B35283">
        <w:rPr>
          <w:rFonts w:asciiTheme="minorHAnsi" w:hAnsiTheme="minorHAnsi" w:cstheme="minorBidi"/>
          <w:caps w:val="0"/>
          <w:color w:val="auto"/>
        </w:rPr>
        <w:t xml:space="preserve"> </w:t>
      </w:r>
      <w:r w:rsidR="00B35283" w:rsidRPr="00B35283">
        <w:rPr>
          <w:rFonts w:asciiTheme="minorHAnsi" w:hAnsiTheme="minorHAnsi" w:cstheme="minorBidi"/>
          <w:caps w:val="0"/>
          <w:color w:val="auto"/>
        </w:rPr>
        <w:t xml:space="preserve">reports on ESG compliance and progress to Limited Partners for each Portfolio Company (subject to confidentiality and legal restraints). </w:t>
      </w:r>
    </w:p>
    <w:p w14:paraId="7A00F79F" w14:textId="6F991BAB" w:rsidR="005878A5" w:rsidRPr="00B35283" w:rsidRDefault="005878A5" w:rsidP="00B35283">
      <w:pPr>
        <w:pStyle w:val="GIHeader5"/>
        <w:ind w:left="720"/>
        <w:rPr>
          <w:rFonts w:asciiTheme="minorHAnsi" w:hAnsiTheme="minorHAnsi" w:cstheme="minorBidi"/>
          <w:caps w:val="0"/>
          <w:color w:val="auto"/>
        </w:rPr>
      </w:pPr>
      <w:r w:rsidRPr="00B35283">
        <w:rPr>
          <w:rFonts w:asciiTheme="minorHAnsi" w:hAnsiTheme="minorHAnsi" w:cstheme="minorBidi"/>
          <w:caps w:val="0"/>
          <w:color w:val="auto"/>
        </w:rPr>
        <w:t xml:space="preserve">• </w:t>
      </w:r>
      <w:r w:rsidR="00C54AFC">
        <w:rPr>
          <w:rFonts w:asciiTheme="minorHAnsi" w:hAnsiTheme="minorHAnsi" w:cstheme="minorBidi"/>
          <w:caps w:val="0"/>
          <w:color w:val="auto"/>
        </w:rPr>
        <w:t>Green Generation</w:t>
      </w:r>
      <w:r w:rsidR="00C54AFC" w:rsidRPr="00B35283">
        <w:rPr>
          <w:rFonts w:asciiTheme="minorHAnsi" w:hAnsiTheme="minorHAnsi" w:cstheme="minorBidi"/>
          <w:caps w:val="0"/>
          <w:color w:val="auto"/>
        </w:rPr>
        <w:t xml:space="preserve"> </w:t>
      </w:r>
      <w:r w:rsidR="00B35283" w:rsidRPr="00B35283">
        <w:rPr>
          <w:rFonts w:asciiTheme="minorHAnsi" w:hAnsiTheme="minorHAnsi" w:cstheme="minorBidi"/>
          <w:caps w:val="0"/>
          <w:color w:val="auto"/>
        </w:rPr>
        <w:t>reports material ESG incidents to Limited Partners (subject to confidentiality and legal restraints).</w:t>
      </w:r>
    </w:p>
    <w:p w14:paraId="3B3D6A67" w14:textId="58075181" w:rsidR="002A2ED5" w:rsidRPr="00D164C4" w:rsidRDefault="00D6588D" w:rsidP="00350FBA">
      <w:pPr>
        <w:pStyle w:val="GIBulletXXX"/>
      </w:pPr>
      <w:r>
        <w:t xml:space="preserve">e. </w:t>
      </w:r>
      <w:r w:rsidR="002A2ED5" w:rsidRPr="00D164C4">
        <w:t>Where can I find further details on the investment strategy?</w:t>
      </w:r>
    </w:p>
    <w:p w14:paraId="4FBD0A98" w14:textId="78197DB6" w:rsidR="004D4580" w:rsidRPr="005476F3" w:rsidRDefault="004D4580" w:rsidP="004D4580">
      <w:pPr>
        <w:pStyle w:val="paragraph"/>
        <w:jc w:val="both"/>
        <w:textAlignment w:val="baseline"/>
        <w:rPr>
          <w:rFonts w:ascii="Segoe UI" w:hAnsi="Segoe UI" w:cs="Segoe UI"/>
          <w:sz w:val="22"/>
          <w:szCs w:val="22"/>
          <w:lang w:val="en-US"/>
        </w:rPr>
      </w:pPr>
      <w:r w:rsidRPr="005476F3">
        <w:rPr>
          <w:rFonts w:asciiTheme="minorHAnsi" w:eastAsiaTheme="minorEastAsia" w:hAnsiTheme="minorHAnsi" w:cstheme="minorBidi"/>
          <w:sz w:val="19"/>
          <w:szCs w:val="19"/>
          <w:lang w:eastAsia="en-US"/>
        </w:rPr>
        <w:t>Further information on the investment strategy can be found i</w:t>
      </w:r>
      <w:r w:rsidRPr="00637AD5">
        <w:rPr>
          <w:rFonts w:asciiTheme="minorHAnsi" w:eastAsiaTheme="minorEastAsia" w:hAnsiTheme="minorHAnsi" w:cstheme="minorBidi"/>
          <w:sz w:val="19"/>
          <w:szCs w:val="19"/>
          <w:lang w:eastAsia="en-US"/>
        </w:rPr>
        <w:t>n [</w:t>
      </w:r>
      <w:r w:rsidR="0000012B">
        <w:rPr>
          <w:rFonts w:ascii="Segoe UI" w:eastAsiaTheme="minorEastAsia" w:hAnsi="Segoe UI" w:cs="Segoe UI"/>
          <w:sz w:val="19"/>
          <w:szCs w:val="19"/>
          <w:lang w:eastAsia="en-US"/>
        </w:rPr>
        <w:t>•</w:t>
      </w:r>
      <w:r w:rsidRPr="00637AD5">
        <w:rPr>
          <w:rFonts w:asciiTheme="minorHAnsi" w:eastAsiaTheme="minorEastAsia" w:hAnsiTheme="minorHAnsi" w:cstheme="minorBidi"/>
          <w:sz w:val="19"/>
          <w:szCs w:val="19"/>
          <w:lang w:eastAsia="en-US"/>
        </w:rPr>
        <w:t>]</w:t>
      </w:r>
      <w:r w:rsidRPr="005476F3">
        <w:rPr>
          <w:rFonts w:asciiTheme="minorHAnsi" w:eastAsiaTheme="minorEastAsia" w:hAnsiTheme="minorHAnsi" w:cstheme="minorBidi"/>
          <w:sz w:val="19"/>
          <w:szCs w:val="19"/>
          <w:lang w:eastAsia="en-US"/>
        </w:rPr>
        <w:t xml:space="preserve"> of </w:t>
      </w:r>
      <w:r w:rsidR="0000012B">
        <w:rPr>
          <w:rFonts w:asciiTheme="minorHAnsi" w:eastAsiaTheme="minorEastAsia" w:hAnsiTheme="minorHAnsi" w:cstheme="minorBidi"/>
          <w:sz w:val="19"/>
          <w:szCs w:val="19"/>
          <w:lang w:eastAsia="en-US"/>
        </w:rPr>
        <w:t xml:space="preserve">our website which can be found at </w:t>
      </w:r>
      <w:r w:rsidR="0000012B" w:rsidRPr="00637AD5">
        <w:rPr>
          <w:rFonts w:asciiTheme="minorHAnsi" w:eastAsiaTheme="minorEastAsia" w:hAnsiTheme="minorHAnsi" w:cstheme="minorBidi"/>
          <w:sz w:val="19"/>
          <w:szCs w:val="19"/>
          <w:lang w:eastAsia="en-US"/>
        </w:rPr>
        <w:t>[</w:t>
      </w:r>
      <w:r w:rsidR="0000012B">
        <w:rPr>
          <w:rFonts w:ascii="Segoe UI" w:eastAsiaTheme="minorEastAsia" w:hAnsi="Segoe UI" w:cs="Segoe UI"/>
          <w:sz w:val="19"/>
          <w:szCs w:val="19"/>
          <w:lang w:eastAsia="en-US"/>
        </w:rPr>
        <w:t>•</w:t>
      </w:r>
      <w:r w:rsidR="0000012B" w:rsidRPr="00637AD5">
        <w:rPr>
          <w:rFonts w:asciiTheme="minorHAnsi" w:eastAsiaTheme="minorEastAsia" w:hAnsiTheme="minorHAnsi" w:cstheme="minorBidi"/>
          <w:sz w:val="19"/>
          <w:szCs w:val="19"/>
          <w:lang w:eastAsia="en-US"/>
        </w:rPr>
        <w:t>]</w:t>
      </w:r>
      <w:r w:rsidRPr="005476F3">
        <w:rPr>
          <w:rFonts w:asciiTheme="minorHAnsi" w:eastAsiaTheme="minorEastAsia" w:hAnsiTheme="minorHAnsi" w:cstheme="minorBidi"/>
          <w:sz w:val="19"/>
          <w:szCs w:val="19"/>
          <w:lang w:eastAsia="en-US"/>
        </w:rPr>
        <w:t>.</w:t>
      </w:r>
    </w:p>
    <w:p w14:paraId="3E27BB26" w14:textId="3E87E764" w:rsidR="002A2ED5" w:rsidRPr="005476F3" w:rsidRDefault="002A2ED5" w:rsidP="00347E04">
      <w:pPr>
        <w:pStyle w:val="GIBulletXX"/>
        <w:rPr>
          <w:color w:val="auto"/>
        </w:rPr>
      </w:pPr>
      <w:r w:rsidRPr="005476F3">
        <w:rPr>
          <w:color w:val="auto"/>
        </w:rPr>
        <w:t>What is the asset allocation planned for this financial product?</w:t>
      </w:r>
    </w:p>
    <w:p w14:paraId="15437075" w14:textId="598150E4" w:rsidR="002A2ED5" w:rsidRPr="005476F3" w:rsidRDefault="007155ED" w:rsidP="009756E6">
      <w:pPr>
        <w:ind w:left="0"/>
        <w:jc w:val="both"/>
        <w:rPr>
          <w:lang w:val="en-GB"/>
        </w:rPr>
      </w:pPr>
      <w:r w:rsidRPr="005476F3">
        <w:rPr>
          <w:lang w:val="en-GB"/>
        </w:rPr>
        <w:t>As per the</w:t>
      </w:r>
      <w:r w:rsidR="007100B2" w:rsidRPr="005476F3">
        <w:rPr>
          <w:lang w:val="en-GB"/>
        </w:rPr>
        <w:t xml:space="preserve"> Fund’s</w:t>
      </w:r>
      <w:r w:rsidRPr="005476F3">
        <w:rPr>
          <w:lang w:val="en-GB"/>
        </w:rPr>
        <w:t xml:space="preserve"> ESG strategy, 100% of </w:t>
      </w:r>
      <w:r w:rsidR="00592C3B">
        <w:rPr>
          <w:lang w:val="en-GB"/>
        </w:rPr>
        <w:t>investments will be directed at investments that qualify as sustainable investments.</w:t>
      </w:r>
      <w:r w:rsidRPr="005476F3">
        <w:rPr>
          <w:lang w:val="en-GB"/>
        </w:rPr>
        <w:t xml:space="preserve"> </w:t>
      </w:r>
    </w:p>
    <w:p w14:paraId="573DEF33" w14:textId="30B91CA5" w:rsidR="002A2ED5" w:rsidRPr="005476F3" w:rsidRDefault="00F5079F" w:rsidP="00350FBA">
      <w:pPr>
        <w:pStyle w:val="GIBulletXXX"/>
      </w:pPr>
      <w:r>
        <w:t xml:space="preserve">a. </w:t>
      </w:r>
      <w:r w:rsidR="002A2ED5" w:rsidRPr="005476F3">
        <w:t>What investment are included under “#2 other”, what is their purpose, and are there any minimum environmental and social safeguards?</w:t>
      </w:r>
    </w:p>
    <w:p w14:paraId="6ABB5D63" w14:textId="3010C4D6" w:rsidR="00637AD5" w:rsidRDefault="00281045" w:rsidP="009756E6">
      <w:pPr>
        <w:ind w:left="0"/>
        <w:jc w:val="both"/>
        <w:rPr>
          <w:lang w:val="en-GB"/>
        </w:rPr>
      </w:pPr>
      <w:r>
        <w:rPr>
          <w:lang w:val="en-GB"/>
        </w:rPr>
        <w:t>Not applicable. Green Generation will not engage in investments which are</w:t>
      </w:r>
      <w:r w:rsidR="00191779">
        <w:rPr>
          <w:lang w:val="en-GB"/>
        </w:rPr>
        <w:t xml:space="preserve"> not</w:t>
      </w:r>
      <w:r>
        <w:rPr>
          <w:lang w:val="en-GB"/>
        </w:rPr>
        <w:t xml:space="preserve"> qualified as sustainable investments.  </w:t>
      </w:r>
    </w:p>
    <w:p w14:paraId="7E0E684A" w14:textId="13542F65" w:rsidR="002A2ED5" w:rsidRPr="005476F3" w:rsidRDefault="00F5079F" w:rsidP="00350FBA">
      <w:pPr>
        <w:pStyle w:val="GIBulletXXX"/>
      </w:pPr>
      <w:r>
        <w:t xml:space="preserve">b. </w:t>
      </w:r>
      <w:r w:rsidR="002A2ED5" w:rsidRPr="005476F3">
        <w:t xml:space="preserve">How does the use of derivatives attain the environmental or social characteristics promoted by the financial product? </w:t>
      </w:r>
    </w:p>
    <w:p w14:paraId="1C04EAA2" w14:textId="21B6BB6D" w:rsidR="005653E7" w:rsidRPr="005476F3" w:rsidRDefault="005653E7" w:rsidP="005653E7">
      <w:pPr>
        <w:ind w:left="0"/>
        <w:rPr>
          <w:lang w:val="en-GB"/>
        </w:rPr>
      </w:pPr>
      <w:r w:rsidRPr="005476F3">
        <w:rPr>
          <w:lang w:val="en-GB"/>
        </w:rPr>
        <w:t>Not applicable</w:t>
      </w:r>
      <w:r w:rsidR="004D4580" w:rsidRPr="005476F3">
        <w:rPr>
          <w:lang w:val="en-GB"/>
        </w:rPr>
        <w:t>. Derivatives are not used to attain the environmental or social characteristics.</w:t>
      </w:r>
    </w:p>
    <w:p w14:paraId="09C3ED40" w14:textId="79D46217" w:rsidR="002A2ED5" w:rsidRPr="005476F3" w:rsidRDefault="00F5079F" w:rsidP="00350FBA">
      <w:pPr>
        <w:pStyle w:val="GIBulletXXX"/>
      </w:pPr>
      <w:r>
        <w:t xml:space="preserve">c. </w:t>
      </w:r>
      <w:r w:rsidR="002A2ED5" w:rsidRPr="005476F3">
        <w:t>How will sustainable investments contribute to a sustainable investment objective and not significantly harm any sustainable investment objective? [include this question where the financial product commits to making sustainable investments as referred to in Article 16(1)(b)]</w:t>
      </w:r>
    </w:p>
    <w:p w14:paraId="69B39EA2" w14:textId="136D34DA" w:rsidR="00CE1480" w:rsidRPr="005476F3" w:rsidRDefault="00B05F98" w:rsidP="009756E6">
      <w:pPr>
        <w:ind w:left="0"/>
        <w:jc w:val="both"/>
        <w:rPr>
          <w:b/>
          <w:bCs/>
          <w:sz w:val="18"/>
        </w:rPr>
      </w:pPr>
      <w:r w:rsidRPr="005476F3">
        <w:rPr>
          <w:lang w:val="en-GB"/>
        </w:rPr>
        <w:t>Wherever possible, t</w:t>
      </w:r>
      <w:r w:rsidR="007D36BA" w:rsidRPr="005476F3">
        <w:rPr>
          <w:lang w:val="en-GB"/>
        </w:rPr>
        <w:t xml:space="preserve">he </w:t>
      </w:r>
      <w:r w:rsidRPr="005476F3">
        <w:rPr>
          <w:lang w:val="en-GB"/>
        </w:rPr>
        <w:t>F</w:t>
      </w:r>
      <w:r w:rsidR="007D36BA" w:rsidRPr="005476F3">
        <w:rPr>
          <w:lang w:val="en-GB"/>
        </w:rPr>
        <w:t>und utilize</w:t>
      </w:r>
      <w:r w:rsidRPr="005476F3">
        <w:rPr>
          <w:lang w:val="en-GB"/>
        </w:rPr>
        <w:t>s</w:t>
      </w:r>
      <w:r w:rsidR="007D36BA" w:rsidRPr="005476F3">
        <w:rPr>
          <w:lang w:val="en-GB"/>
        </w:rPr>
        <w:t xml:space="preserve"> </w:t>
      </w:r>
      <w:r w:rsidR="00CE1480" w:rsidRPr="005476F3">
        <w:t xml:space="preserve">accredited third-party systems to assess, certify and benchmark sustainability of </w:t>
      </w:r>
      <w:r w:rsidR="004769B4">
        <w:t xml:space="preserve">investments </w:t>
      </w:r>
      <w:r w:rsidR="00CE1480" w:rsidRPr="005476F3">
        <w:t>under management</w:t>
      </w:r>
      <w:r w:rsidR="00F81CBE" w:rsidRPr="005476F3">
        <w:t xml:space="preserve">. These systems include </w:t>
      </w:r>
      <w:r w:rsidR="00637AD5">
        <w:t>[</w:t>
      </w:r>
      <w:r w:rsidR="00637AD5" w:rsidRPr="00F87DF1">
        <w:rPr>
          <w:highlight w:val="green"/>
        </w:rPr>
        <w:t>relevant accredited third-party systems</w:t>
      </w:r>
      <w:r w:rsidR="00637AD5">
        <w:t>]</w:t>
      </w:r>
      <w:r w:rsidR="00F81CBE" w:rsidRPr="005476F3">
        <w:t>, etc</w:t>
      </w:r>
      <w:r w:rsidR="002D55D2" w:rsidRPr="005476F3">
        <w:t>.</w:t>
      </w:r>
    </w:p>
    <w:p w14:paraId="04C653E5" w14:textId="3169DF92" w:rsidR="00F81CBE" w:rsidRPr="005476F3" w:rsidRDefault="00637AD5" w:rsidP="00CE1480">
      <w:pPr>
        <w:pStyle w:val="GIBody"/>
        <w:suppressAutoHyphens/>
        <w:spacing w:line="240" w:lineRule="auto"/>
        <w:rPr>
          <w:rFonts w:ascii="Futura Lt BT" w:hAnsi="Futura Lt BT"/>
          <w:color w:val="auto"/>
          <w:sz w:val="20"/>
          <w:szCs w:val="20"/>
        </w:rPr>
      </w:pPr>
      <w:r>
        <w:rPr>
          <w:rFonts w:ascii="Futura Lt BT" w:hAnsi="Futura Lt BT"/>
          <w:color w:val="auto"/>
          <w:sz w:val="20"/>
          <w:szCs w:val="20"/>
        </w:rPr>
        <w:t>[</w:t>
      </w:r>
      <w:r w:rsidR="003B3DF1" w:rsidRPr="003B3DF1">
        <w:rPr>
          <w:rFonts w:asciiTheme="minorHAnsi" w:hAnsiTheme="minorHAnsi" w:cstheme="minorBidi"/>
          <w:color w:val="auto"/>
          <w:highlight w:val="green"/>
        </w:rPr>
        <w:t>Include table of criteria and performance requirement</w:t>
      </w:r>
      <w:r w:rsidR="00147660">
        <w:rPr>
          <w:rFonts w:asciiTheme="minorHAnsi" w:hAnsiTheme="minorHAnsi" w:cstheme="minorBidi"/>
          <w:color w:val="auto"/>
        </w:rPr>
        <w:t xml:space="preserve"> </w:t>
      </w:r>
      <w:r w:rsidR="00147660" w:rsidRPr="00147660">
        <w:rPr>
          <w:rFonts w:asciiTheme="minorHAnsi" w:hAnsiTheme="minorHAnsi" w:cstheme="minorBidi"/>
          <w:color w:val="auto"/>
          <w:highlight w:val="green"/>
        </w:rPr>
        <w:t>(Please download ISS brochure online)</w:t>
      </w:r>
      <w:r>
        <w:rPr>
          <w:rFonts w:ascii="Futura Lt BT" w:hAnsi="Futura Lt BT"/>
          <w:color w:val="auto"/>
          <w:sz w:val="20"/>
          <w:szCs w:val="20"/>
        </w:rPr>
        <w:t>]</w:t>
      </w:r>
    </w:p>
    <w:p w14:paraId="26AB32E1" w14:textId="76D825A7" w:rsidR="002D55D2" w:rsidRDefault="00266930" w:rsidP="000A76E4">
      <w:pPr>
        <w:ind w:left="0"/>
      </w:pPr>
      <w:r w:rsidRPr="005476F3">
        <w:rPr>
          <w:lang w:val="en-GB"/>
        </w:rPr>
        <w:t>All</w:t>
      </w:r>
      <w:r w:rsidR="00A608E3" w:rsidRPr="005476F3">
        <w:rPr>
          <w:lang w:val="en-GB"/>
        </w:rPr>
        <w:t xml:space="preserve"> the</w:t>
      </w:r>
      <w:r w:rsidR="000A76E4" w:rsidRPr="005476F3">
        <w:rPr>
          <w:lang w:val="en-GB"/>
        </w:rPr>
        <w:t xml:space="preserve"> above </w:t>
      </w:r>
      <w:r w:rsidR="00A608E3" w:rsidRPr="005476F3">
        <w:rPr>
          <w:lang w:val="en-GB"/>
        </w:rPr>
        <w:t xml:space="preserve">systems </w:t>
      </w:r>
      <w:r w:rsidR="000A76E4" w:rsidRPr="005476F3">
        <w:rPr>
          <w:lang w:val="en-GB"/>
        </w:rPr>
        <w:t xml:space="preserve">are </w:t>
      </w:r>
      <w:r w:rsidR="002D55D2" w:rsidRPr="005476F3">
        <w:t xml:space="preserve">recognized by </w:t>
      </w:r>
      <w:r w:rsidR="003B3DF1">
        <w:t xml:space="preserve">ISS, </w:t>
      </w:r>
      <w:r w:rsidR="000A76E4" w:rsidRPr="005476F3">
        <w:t>and comply with their evaluation criteria:</w:t>
      </w:r>
    </w:p>
    <w:p w14:paraId="47C77B95" w14:textId="48777D6D" w:rsidR="00637AD5" w:rsidRPr="005476F3" w:rsidRDefault="00637AD5" w:rsidP="000A76E4">
      <w:pPr>
        <w:ind w:left="0"/>
      </w:pPr>
      <w:r>
        <w:t>[</w:t>
      </w:r>
      <w:r w:rsidRPr="003B3DF1">
        <w:rPr>
          <w:highlight w:val="green"/>
        </w:rPr>
        <w:t>list of specific and relevant benchmark evaluation criteria</w:t>
      </w:r>
      <w:r>
        <w:t>]</w:t>
      </w:r>
    </w:p>
    <w:p w14:paraId="689DBA4C" w14:textId="45D9D11C" w:rsidR="00FC3231" w:rsidRPr="005476F3" w:rsidRDefault="00FC3231" w:rsidP="008D47DB">
      <w:pPr>
        <w:ind w:left="0"/>
        <w:rPr>
          <w:lang w:val="en-GB"/>
        </w:rPr>
      </w:pPr>
      <w:r w:rsidRPr="005476F3">
        <w:rPr>
          <w:lang w:val="en-GB"/>
        </w:rPr>
        <w:t xml:space="preserve">In addition, these </w:t>
      </w:r>
      <w:r w:rsidR="000F6A6C" w:rsidRPr="005476F3">
        <w:rPr>
          <w:lang w:val="en-GB"/>
        </w:rPr>
        <w:t>systems</w:t>
      </w:r>
      <w:r w:rsidRPr="005476F3">
        <w:rPr>
          <w:lang w:val="en-GB"/>
        </w:rPr>
        <w:t xml:space="preserve"> offer a holistic sustainability assessment, including these factors:</w:t>
      </w:r>
    </w:p>
    <w:p w14:paraId="2BB9F1E8" w14:textId="63B2685B" w:rsidR="004B7DA5" w:rsidRPr="005476F3" w:rsidRDefault="004B7DA5" w:rsidP="004B7DA5">
      <w:pPr>
        <w:pStyle w:val="GIBodyBullets1"/>
        <w:spacing w:before="0" w:after="120"/>
        <w:ind w:left="1349" w:hanging="357"/>
        <w:rPr>
          <w:color w:val="auto"/>
        </w:rPr>
      </w:pPr>
      <w:r w:rsidRPr="005476F3">
        <w:rPr>
          <w:color w:val="auto"/>
        </w:rPr>
        <w:t>Energy and GHG emissions</w:t>
      </w:r>
      <w:r w:rsidR="001341C5" w:rsidRPr="005476F3">
        <w:rPr>
          <w:color w:val="auto"/>
        </w:rPr>
        <w:t xml:space="preserve"> (primarily environmental impact</w:t>
      </w:r>
      <w:r w:rsidR="00BE470A" w:rsidRPr="005476F3">
        <w:rPr>
          <w:color w:val="auto"/>
        </w:rPr>
        <w:t xml:space="preserve"> - Climate</w:t>
      </w:r>
      <w:r w:rsidR="001341C5" w:rsidRPr="005476F3">
        <w:rPr>
          <w:color w:val="auto"/>
        </w:rPr>
        <w:t>)</w:t>
      </w:r>
    </w:p>
    <w:p w14:paraId="3213305A" w14:textId="5AF3E5B9" w:rsidR="004B7DA5" w:rsidRPr="005476F3" w:rsidRDefault="004B7DA5" w:rsidP="004B7DA5">
      <w:pPr>
        <w:pStyle w:val="GIBodyBullets1"/>
        <w:spacing w:before="0" w:after="120"/>
        <w:ind w:left="1349" w:hanging="357"/>
        <w:rPr>
          <w:color w:val="auto"/>
        </w:rPr>
      </w:pPr>
      <w:r w:rsidRPr="005476F3">
        <w:rPr>
          <w:color w:val="auto"/>
        </w:rPr>
        <w:t>Water</w:t>
      </w:r>
      <w:r w:rsidR="001341C5" w:rsidRPr="005476F3">
        <w:rPr>
          <w:color w:val="auto"/>
        </w:rPr>
        <w:t xml:space="preserve"> (primarily environmental impact</w:t>
      </w:r>
      <w:r w:rsidR="00BE470A" w:rsidRPr="005476F3">
        <w:rPr>
          <w:color w:val="auto"/>
        </w:rPr>
        <w:t xml:space="preserve"> - Climate</w:t>
      </w:r>
      <w:r w:rsidR="001341C5" w:rsidRPr="005476F3">
        <w:rPr>
          <w:color w:val="auto"/>
        </w:rPr>
        <w:t>)</w:t>
      </w:r>
    </w:p>
    <w:p w14:paraId="1ED1456A" w14:textId="6DA69BF1" w:rsidR="004B7DA5" w:rsidRPr="005476F3" w:rsidRDefault="004B7DA5" w:rsidP="001341C5">
      <w:pPr>
        <w:pStyle w:val="GIBodyBullets1"/>
        <w:spacing w:before="0" w:after="120"/>
        <w:ind w:left="1349" w:hanging="357"/>
        <w:rPr>
          <w:color w:val="auto"/>
        </w:rPr>
      </w:pPr>
      <w:r w:rsidRPr="005476F3">
        <w:rPr>
          <w:color w:val="auto"/>
        </w:rPr>
        <w:t>Waste</w:t>
      </w:r>
      <w:r w:rsidR="001341C5" w:rsidRPr="005476F3">
        <w:rPr>
          <w:color w:val="auto"/>
        </w:rPr>
        <w:t xml:space="preserve"> (primarily environmental impact</w:t>
      </w:r>
      <w:r w:rsidR="00BE470A" w:rsidRPr="005476F3">
        <w:rPr>
          <w:color w:val="auto"/>
        </w:rPr>
        <w:t xml:space="preserve"> - Climate</w:t>
      </w:r>
      <w:r w:rsidR="001341C5" w:rsidRPr="005476F3">
        <w:rPr>
          <w:color w:val="auto"/>
        </w:rPr>
        <w:t>)</w:t>
      </w:r>
    </w:p>
    <w:p w14:paraId="1B878F43" w14:textId="05664AA9" w:rsidR="001341C5" w:rsidRPr="005476F3" w:rsidRDefault="004B7DA5" w:rsidP="00490EFC">
      <w:pPr>
        <w:pStyle w:val="GIBodyBullets1"/>
        <w:spacing w:before="0" w:after="120"/>
        <w:ind w:left="1349" w:hanging="357"/>
        <w:rPr>
          <w:color w:val="auto"/>
        </w:rPr>
      </w:pPr>
      <w:r w:rsidRPr="005476F3">
        <w:rPr>
          <w:color w:val="auto"/>
        </w:rPr>
        <w:t>Materials</w:t>
      </w:r>
      <w:r w:rsidR="001341C5" w:rsidRPr="005476F3">
        <w:rPr>
          <w:color w:val="auto"/>
        </w:rPr>
        <w:t xml:space="preserve"> (primarily environmental impact</w:t>
      </w:r>
      <w:r w:rsidR="00BE470A" w:rsidRPr="005476F3">
        <w:rPr>
          <w:color w:val="auto"/>
        </w:rPr>
        <w:t xml:space="preserve"> – Climate and </w:t>
      </w:r>
      <w:r w:rsidR="003B3DF1">
        <w:rPr>
          <w:color w:val="auto"/>
        </w:rPr>
        <w:t>Responsibility</w:t>
      </w:r>
      <w:r w:rsidR="001341C5" w:rsidRPr="005476F3">
        <w:rPr>
          <w:color w:val="auto"/>
        </w:rPr>
        <w:t>)</w:t>
      </w:r>
    </w:p>
    <w:p w14:paraId="19EF4495" w14:textId="5037EE5F" w:rsidR="00266930" w:rsidRPr="005476F3" w:rsidRDefault="00E82A38" w:rsidP="00490EFC">
      <w:pPr>
        <w:pStyle w:val="GIBodyBullets1"/>
        <w:spacing w:before="0" w:after="120"/>
        <w:ind w:left="1349" w:hanging="357"/>
        <w:rPr>
          <w:color w:val="auto"/>
        </w:rPr>
      </w:pPr>
      <w:r w:rsidRPr="005476F3">
        <w:rPr>
          <w:color w:val="auto"/>
        </w:rPr>
        <w:t>Ecology</w:t>
      </w:r>
      <w:r w:rsidR="001341C5" w:rsidRPr="005476F3">
        <w:rPr>
          <w:color w:val="auto"/>
        </w:rPr>
        <w:t xml:space="preserve"> (primarily environmental impact</w:t>
      </w:r>
      <w:r w:rsidR="00BE470A" w:rsidRPr="005476F3">
        <w:rPr>
          <w:color w:val="auto"/>
        </w:rPr>
        <w:t xml:space="preserve"> – Climate and People</w:t>
      </w:r>
      <w:r w:rsidR="001341C5" w:rsidRPr="005476F3">
        <w:rPr>
          <w:color w:val="auto"/>
        </w:rPr>
        <w:t>)</w:t>
      </w:r>
    </w:p>
    <w:p w14:paraId="23199E9F" w14:textId="586308FB" w:rsidR="00E82A38" w:rsidRPr="005476F3" w:rsidRDefault="00E82A38" w:rsidP="004B7DA5">
      <w:pPr>
        <w:pStyle w:val="GIBodyBullets1"/>
        <w:spacing w:before="0" w:after="120"/>
        <w:ind w:left="1349" w:hanging="357"/>
        <w:rPr>
          <w:color w:val="auto"/>
        </w:rPr>
      </w:pPr>
      <w:r w:rsidRPr="005476F3">
        <w:rPr>
          <w:color w:val="auto"/>
        </w:rPr>
        <w:t>Pollution</w:t>
      </w:r>
      <w:r w:rsidR="001341C5" w:rsidRPr="005476F3">
        <w:rPr>
          <w:color w:val="auto"/>
        </w:rPr>
        <w:t xml:space="preserve"> (environmental and social impact</w:t>
      </w:r>
      <w:r w:rsidR="00BE470A" w:rsidRPr="005476F3">
        <w:rPr>
          <w:color w:val="auto"/>
        </w:rPr>
        <w:t xml:space="preserve"> </w:t>
      </w:r>
      <w:r w:rsidR="00087C90" w:rsidRPr="005476F3">
        <w:rPr>
          <w:color w:val="auto"/>
        </w:rPr>
        <w:t>- People</w:t>
      </w:r>
      <w:r w:rsidR="001341C5" w:rsidRPr="005476F3">
        <w:rPr>
          <w:color w:val="auto"/>
        </w:rPr>
        <w:t>)</w:t>
      </w:r>
    </w:p>
    <w:p w14:paraId="7DF771CD" w14:textId="13C959D1" w:rsidR="00266930" w:rsidRPr="005476F3" w:rsidRDefault="00266930" w:rsidP="004B7DA5">
      <w:pPr>
        <w:pStyle w:val="GIBodyBullets1"/>
        <w:spacing w:before="0" w:after="120"/>
        <w:ind w:left="1349" w:hanging="357"/>
        <w:rPr>
          <w:color w:val="auto"/>
        </w:rPr>
      </w:pPr>
      <w:r w:rsidRPr="005476F3">
        <w:rPr>
          <w:color w:val="auto"/>
        </w:rPr>
        <w:t>Health</w:t>
      </w:r>
      <w:r w:rsidR="00F1396D">
        <w:rPr>
          <w:color w:val="auto"/>
        </w:rPr>
        <w:t xml:space="preserve"> </w:t>
      </w:r>
      <w:r w:rsidRPr="005476F3">
        <w:rPr>
          <w:color w:val="auto"/>
        </w:rPr>
        <w:t>&amp;</w:t>
      </w:r>
      <w:r w:rsidR="00F1396D">
        <w:rPr>
          <w:color w:val="auto"/>
        </w:rPr>
        <w:t xml:space="preserve"> </w:t>
      </w:r>
      <w:r w:rsidRPr="005476F3">
        <w:rPr>
          <w:color w:val="auto"/>
        </w:rPr>
        <w:t>Wellbeing</w:t>
      </w:r>
      <w:r w:rsidR="001341C5" w:rsidRPr="005476F3">
        <w:rPr>
          <w:color w:val="auto"/>
        </w:rPr>
        <w:t xml:space="preserve"> (primarily social impact</w:t>
      </w:r>
      <w:r w:rsidR="00087C90" w:rsidRPr="005476F3">
        <w:rPr>
          <w:color w:val="auto"/>
        </w:rPr>
        <w:t xml:space="preserve"> - People</w:t>
      </w:r>
      <w:r w:rsidR="001341C5" w:rsidRPr="005476F3">
        <w:rPr>
          <w:color w:val="auto"/>
        </w:rPr>
        <w:t>)</w:t>
      </w:r>
    </w:p>
    <w:p w14:paraId="3B9B738B" w14:textId="5441CB46" w:rsidR="00266930" w:rsidRDefault="00266930" w:rsidP="001807F4">
      <w:pPr>
        <w:pStyle w:val="GIBodyBullets1"/>
        <w:spacing w:before="0" w:after="120"/>
        <w:ind w:left="1349" w:hanging="357"/>
        <w:rPr>
          <w:color w:val="auto"/>
        </w:rPr>
      </w:pPr>
      <w:r w:rsidRPr="005476F3">
        <w:rPr>
          <w:color w:val="auto"/>
        </w:rPr>
        <w:t>Management</w:t>
      </w:r>
      <w:r w:rsidR="001341C5" w:rsidRPr="005476F3">
        <w:rPr>
          <w:color w:val="auto"/>
        </w:rPr>
        <w:t xml:space="preserve"> (social impact</w:t>
      </w:r>
      <w:r w:rsidR="00087C90" w:rsidRPr="005476F3">
        <w:rPr>
          <w:color w:val="auto"/>
        </w:rPr>
        <w:t xml:space="preserve"> – People</w:t>
      </w:r>
      <w:r w:rsidR="001341C5" w:rsidRPr="005476F3">
        <w:rPr>
          <w:color w:val="auto"/>
        </w:rPr>
        <w:t>)</w:t>
      </w:r>
    </w:p>
    <w:p w14:paraId="7B20137E" w14:textId="3412C27A" w:rsidR="00670772" w:rsidRPr="005476F3" w:rsidRDefault="00670772" w:rsidP="001807F4">
      <w:pPr>
        <w:pStyle w:val="GIBodyBullets1"/>
        <w:spacing w:before="0" w:after="120"/>
        <w:ind w:left="1349" w:hanging="357"/>
        <w:rPr>
          <w:color w:val="auto"/>
        </w:rPr>
      </w:pPr>
      <w:r>
        <w:rPr>
          <w:color w:val="auto"/>
        </w:rPr>
        <w:t>Life on Land (animal welfare)</w:t>
      </w:r>
    </w:p>
    <w:p w14:paraId="3C716839" w14:textId="7D7C1543" w:rsidR="002A2ED5" w:rsidRPr="005476F3" w:rsidRDefault="00BB6EF3" w:rsidP="00350FBA">
      <w:pPr>
        <w:pStyle w:val="GIBulletXXX"/>
      </w:pPr>
      <w:r>
        <w:t xml:space="preserve">a. </w:t>
      </w:r>
      <w:r w:rsidR="002A2ED5" w:rsidRPr="005476F3">
        <w:t>How are indicators for adverse impacts on sustainability factors taken into account?</w:t>
      </w:r>
    </w:p>
    <w:p w14:paraId="5DD57062" w14:textId="200625A8" w:rsidR="00B4704D" w:rsidRPr="005476F3" w:rsidRDefault="00B4704D" w:rsidP="009756E6">
      <w:pPr>
        <w:ind w:left="0"/>
        <w:jc w:val="both"/>
        <w:rPr>
          <w:lang w:val="en-GB"/>
        </w:rPr>
      </w:pPr>
      <w:r w:rsidRPr="005476F3">
        <w:rPr>
          <w:lang w:val="en-GB"/>
        </w:rPr>
        <w:t xml:space="preserve">To achieve the stated ratings in these certification systems, </w:t>
      </w:r>
      <w:r w:rsidR="00D25DEF">
        <w:rPr>
          <w:lang w:val="en-GB"/>
        </w:rPr>
        <w:t>investments</w:t>
      </w:r>
      <w:r w:rsidRPr="005476F3">
        <w:rPr>
          <w:lang w:val="en-GB"/>
        </w:rPr>
        <w:t xml:space="preserve"> must comply with a range of minimum requirements and points across these topics</w:t>
      </w:r>
      <w:r w:rsidR="00FE2CF1" w:rsidRPr="005476F3">
        <w:rPr>
          <w:lang w:val="en-GB"/>
        </w:rPr>
        <w:t>.</w:t>
      </w:r>
    </w:p>
    <w:p w14:paraId="65B8207B" w14:textId="69CFD56B" w:rsidR="002A2ED5" w:rsidRPr="005476F3" w:rsidRDefault="000A4D86" w:rsidP="00350FBA">
      <w:pPr>
        <w:pStyle w:val="GIBulletXXX"/>
      </w:pPr>
      <w:r>
        <w:t xml:space="preserve">b. </w:t>
      </w:r>
      <w:r w:rsidR="002A2ED5" w:rsidRPr="005476F3">
        <w:t xml:space="preserve">Are sustainable investments aligned with the OECD Guidelines for Multinational Enterprises and the UN Guiding Principles on Business and Human Rights? </w:t>
      </w:r>
    </w:p>
    <w:p w14:paraId="124CB7BF" w14:textId="77BAB540" w:rsidR="001807F4" w:rsidRPr="005476F3" w:rsidRDefault="00667876" w:rsidP="009756E6">
      <w:pPr>
        <w:ind w:left="0"/>
        <w:jc w:val="both"/>
      </w:pPr>
      <w:r>
        <w:t>T</w:t>
      </w:r>
      <w:r w:rsidR="003166BF" w:rsidRPr="005476F3">
        <w:t>he Firm</w:t>
      </w:r>
      <w:r w:rsidR="001807F4" w:rsidRPr="005476F3">
        <w:t xml:space="preserve"> is subject to and benefits from the following corporate responsibility policies and governance:</w:t>
      </w:r>
    </w:p>
    <w:p w14:paraId="2431C7F2" w14:textId="0EA073E6" w:rsidR="001807F4" w:rsidRPr="00350FBA" w:rsidRDefault="00A53895" w:rsidP="007F61EC">
      <w:pPr>
        <w:pStyle w:val="GICaseStudyCityName"/>
        <w:numPr>
          <w:ilvl w:val="0"/>
          <w:numId w:val="18"/>
        </w:numPr>
        <w:spacing w:after="120" w:line="240" w:lineRule="auto"/>
        <w:rPr>
          <w:caps/>
          <w:color w:val="auto"/>
          <w:sz w:val="28"/>
          <w:szCs w:val="28"/>
          <w:lang w:val="en-GB"/>
        </w:rPr>
      </w:pPr>
      <w:r w:rsidRPr="00350FBA">
        <w:rPr>
          <w:caps/>
          <w:color w:val="auto"/>
          <w:sz w:val="28"/>
          <w:szCs w:val="28"/>
          <w:lang w:val="en-GB"/>
        </w:rPr>
        <w:t>Green Generation</w:t>
      </w:r>
      <w:r w:rsidR="001807F4" w:rsidRPr="00350FBA">
        <w:rPr>
          <w:caps/>
          <w:color w:val="auto"/>
          <w:sz w:val="28"/>
          <w:szCs w:val="28"/>
          <w:lang w:val="en-GB"/>
        </w:rPr>
        <w:t xml:space="preserve"> Standards of Business Conduct</w:t>
      </w:r>
    </w:p>
    <w:p w14:paraId="24D0532D" w14:textId="3391758C" w:rsidR="001807F4" w:rsidRPr="00216AEE" w:rsidRDefault="001807F4" w:rsidP="00FE2CF1">
      <w:pPr>
        <w:pStyle w:val="BodyText"/>
        <w:suppressAutoHyphens/>
        <w:spacing w:line="240" w:lineRule="auto"/>
        <w:jc w:val="both"/>
        <w:rPr>
          <w:rFonts w:asciiTheme="minorHAnsi" w:hAnsiTheme="minorHAnsi"/>
          <w:sz w:val="19"/>
          <w:szCs w:val="19"/>
          <w:lang w:val="en-GB"/>
        </w:rPr>
      </w:pPr>
      <w:r w:rsidRPr="00216AEE">
        <w:rPr>
          <w:rFonts w:asciiTheme="minorHAnsi" w:hAnsiTheme="minorHAnsi"/>
          <w:sz w:val="19"/>
          <w:szCs w:val="19"/>
          <w:lang w:val="en-GB"/>
        </w:rPr>
        <w:t xml:space="preserve">The Standard of Business Conduct (SOBC) embodies the fundamental principles that govern </w:t>
      </w:r>
      <w:r w:rsidR="007171B7" w:rsidRPr="00216AEE">
        <w:rPr>
          <w:rFonts w:asciiTheme="minorHAnsi" w:hAnsiTheme="minorHAnsi"/>
          <w:sz w:val="19"/>
          <w:szCs w:val="19"/>
          <w:lang w:val="en-GB"/>
        </w:rPr>
        <w:t>the Firm’s</w:t>
      </w:r>
      <w:r w:rsidRPr="00216AEE">
        <w:rPr>
          <w:rFonts w:asciiTheme="minorHAnsi" w:hAnsiTheme="minorHAnsi"/>
          <w:sz w:val="19"/>
          <w:szCs w:val="19"/>
          <w:lang w:val="en-GB"/>
        </w:rPr>
        <w:t xml:space="preserve"> ethical and legal obligations. It is an expression of our values and represents a framework for decision-making. SOBC is applicable to all employees.</w:t>
      </w:r>
    </w:p>
    <w:p w14:paraId="6713AB07" w14:textId="15FAB885" w:rsidR="001807F4" w:rsidRPr="00216AEE" w:rsidRDefault="001807F4" w:rsidP="00FE2CF1">
      <w:pPr>
        <w:pStyle w:val="BodyText"/>
        <w:suppressAutoHyphens/>
        <w:spacing w:line="240" w:lineRule="auto"/>
        <w:jc w:val="both"/>
        <w:rPr>
          <w:rFonts w:asciiTheme="minorHAnsi" w:hAnsiTheme="minorHAnsi"/>
          <w:sz w:val="19"/>
          <w:szCs w:val="19"/>
          <w:lang w:val="en-GB"/>
        </w:rPr>
      </w:pPr>
      <w:r w:rsidRPr="00216AEE">
        <w:rPr>
          <w:rFonts w:asciiTheme="minorHAnsi" w:hAnsiTheme="minorHAnsi"/>
          <w:sz w:val="19"/>
          <w:szCs w:val="19"/>
          <w:lang w:val="en-GB"/>
        </w:rPr>
        <w:t>The SOBC covers the four key topics:</w:t>
      </w:r>
    </w:p>
    <w:p w14:paraId="1D7EB993" w14:textId="22F26885" w:rsidR="00857C1D" w:rsidRPr="00AD03E1" w:rsidRDefault="00857C1D" w:rsidP="00AD03E1">
      <w:pPr>
        <w:pStyle w:val="GIBodyBullets1"/>
        <w:spacing w:before="0" w:after="120"/>
        <w:ind w:left="1349" w:hanging="357"/>
        <w:rPr>
          <w:color w:val="auto"/>
        </w:rPr>
      </w:pPr>
      <w:r w:rsidRPr="00AD03E1">
        <w:rPr>
          <w:color w:val="auto"/>
        </w:rPr>
        <w:t xml:space="preserve">Conduct relating to each other, </w:t>
      </w:r>
    </w:p>
    <w:p w14:paraId="21A1F2BA" w14:textId="4D384038" w:rsidR="00857C1D" w:rsidRPr="00AD03E1" w:rsidRDefault="00857C1D" w:rsidP="00AD03E1">
      <w:pPr>
        <w:pStyle w:val="GIBodyBullets1"/>
        <w:spacing w:before="0" w:after="120"/>
        <w:ind w:left="1349" w:hanging="357"/>
        <w:rPr>
          <w:color w:val="auto"/>
        </w:rPr>
      </w:pPr>
      <w:r w:rsidRPr="00AD03E1">
        <w:rPr>
          <w:color w:val="auto"/>
        </w:rPr>
        <w:t xml:space="preserve">Conduct relating to our business partners, clients, and competitors, </w:t>
      </w:r>
    </w:p>
    <w:p w14:paraId="5CE9977F" w14:textId="36B7CC9A" w:rsidR="00857C1D" w:rsidRPr="00AD03E1" w:rsidRDefault="00857C1D" w:rsidP="00AD03E1">
      <w:pPr>
        <w:pStyle w:val="GIBodyBullets1"/>
        <w:spacing w:before="0" w:after="120"/>
        <w:ind w:left="1349" w:hanging="357"/>
        <w:rPr>
          <w:color w:val="auto"/>
        </w:rPr>
      </w:pPr>
      <w:r w:rsidRPr="00AD03E1">
        <w:rPr>
          <w:color w:val="auto"/>
        </w:rPr>
        <w:t xml:space="preserve">Conduct relating to </w:t>
      </w:r>
      <w:r w:rsidR="00214EF0">
        <w:rPr>
          <w:color w:val="auto"/>
        </w:rPr>
        <w:t>Green Generation</w:t>
      </w:r>
      <w:r w:rsidRPr="00AD03E1">
        <w:rPr>
          <w:color w:val="auto"/>
        </w:rPr>
        <w:t>’s resources, and</w:t>
      </w:r>
    </w:p>
    <w:p w14:paraId="1AA4BCA5" w14:textId="7455D5CE" w:rsidR="00216AEE" w:rsidRDefault="00857C1D" w:rsidP="00216AEE">
      <w:pPr>
        <w:pStyle w:val="GIBodyBullets1"/>
        <w:spacing w:before="0" w:after="120"/>
        <w:ind w:left="1349" w:hanging="357"/>
        <w:rPr>
          <w:color w:val="auto"/>
        </w:rPr>
      </w:pPr>
      <w:r w:rsidRPr="00AD03E1">
        <w:rPr>
          <w:color w:val="auto"/>
        </w:rPr>
        <w:t>Conduct relating to our communities.</w:t>
      </w:r>
    </w:p>
    <w:p w14:paraId="42BA589B" w14:textId="53B639E7" w:rsidR="00216AEE" w:rsidRPr="00350FBA" w:rsidRDefault="00216AEE" w:rsidP="00216AEE">
      <w:pPr>
        <w:pStyle w:val="GICaseStudyCityName"/>
        <w:numPr>
          <w:ilvl w:val="0"/>
          <w:numId w:val="18"/>
        </w:numPr>
        <w:spacing w:after="120" w:line="240" w:lineRule="auto"/>
        <w:rPr>
          <w:caps/>
          <w:color w:val="auto"/>
          <w:sz w:val="28"/>
          <w:szCs w:val="28"/>
          <w:lang w:val="en-GB"/>
        </w:rPr>
      </w:pPr>
      <w:r w:rsidRPr="00350FBA">
        <w:rPr>
          <w:caps/>
          <w:color w:val="auto"/>
          <w:sz w:val="28"/>
          <w:szCs w:val="28"/>
          <w:lang w:val="en-GB"/>
        </w:rPr>
        <w:t>Green generation member Code of Conduct</w:t>
      </w:r>
    </w:p>
    <w:p w14:paraId="01E61AD6" w14:textId="47A7F673" w:rsidR="00216AEE" w:rsidRPr="00216AEE" w:rsidRDefault="00216AEE" w:rsidP="00216AEE">
      <w:pPr>
        <w:suppressAutoHyphens/>
        <w:ind w:left="0"/>
        <w:jc w:val="both"/>
        <w:rPr>
          <w:rFonts w:ascii="Futura Bk BT" w:eastAsia="Times New Roman" w:hAnsi="Futura Bk BT" w:cs="Times New Roman"/>
        </w:rPr>
      </w:pPr>
      <w:r w:rsidRPr="00216AEE">
        <w:rPr>
          <w:rFonts w:ascii="Futura Bk BT" w:eastAsia="Times New Roman" w:hAnsi="Futura Bk BT" w:cs="Times New Roman"/>
        </w:rPr>
        <w:t xml:space="preserve">As an industry leader and a responsible business, the Firm seeks to use its position to promote the highest standards for ethics and business conduct wherever it operates. The Firm requires its </w:t>
      </w:r>
      <w:r w:rsidR="006D3FB3">
        <w:rPr>
          <w:rFonts w:ascii="Futura Bk BT" w:eastAsia="Times New Roman" w:hAnsi="Futura Bk BT" w:cs="Times New Roman"/>
        </w:rPr>
        <w:t>members</w:t>
      </w:r>
      <w:r w:rsidRPr="00216AEE">
        <w:rPr>
          <w:rFonts w:ascii="Futura Bk BT" w:eastAsia="Times New Roman" w:hAnsi="Futura Bk BT" w:cs="Times New Roman"/>
        </w:rPr>
        <w:t xml:space="preserve"> to comply with the Code of Conduct, covering the following topics:</w:t>
      </w:r>
    </w:p>
    <w:p w14:paraId="73A04620" w14:textId="77777777" w:rsidR="00216AEE" w:rsidRPr="00216AEE" w:rsidRDefault="00216AEE" w:rsidP="00216AEE">
      <w:pPr>
        <w:pStyle w:val="GIBodyBullets1"/>
        <w:spacing w:before="0" w:after="120"/>
        <w:ind w:left="1349" w:hanging="357"/>
        <w:rPr>
          <w:color w:val="auto"/>
        </w:rPr>
      </w:pPr>
      <w:r w:rsidRPr="00216AEE">
        <w:rPr>
          <w:color w:val="auto"/>
        </w:rPr>
        <w:t xml:space="preserve">Anti-bribery/corruption </w:t>
      </w:r>
    </w:p>
    <w:p w14:paraId="66AF3748" w14:textId="77777777" w:rsidR="00216AEE" w:rsidRPr="00216AEE" w:rsidRDefault="00216AEE" w:rsidP="00216AEE">
      <w:pPr>
        <w:pStyle w:val="GIBodyBullets1"/>
        <w:spacing w:before="0" w:after="120"/>
        <w:ind w:left="1349" w:hanging="357"/>
        <w:rPr>
          <w:color w:val="auto"/>
        </w:rPr>
      </w:pPr>
      <w:r w:rsidRPr="00216AEE">
        <w:rPr>
          <w:color w:val="auto"/>
        </w:rPr>
        <w:t>Unfair business practices</w:t>
      </w:r>
    </w:p>
    <w:p w14:paraId="6AE8A716" w14:textId="77777777" w:rsidR="00216AEE" w:rsidRPr="00216AEE" w:rsidRDefault="00216AEE" w:rsidP="00216AEE">
      <w:pPr>
        <w:pStyle w:val="GIBodyBullets1"/>
        <w:spacing w:before="0" w:after="120"/>
        <w:ind w:left="1349" w:hanging="357"/>
        <w:rPr>
          <w:color w:val="auto"/>
        </w:rPr>
      </w:pPr>
      <w:r w:rsidRPr="00216AEE">
        <w:rPr>
          <w:color w:val="auto"/>
        </w:rPr>
        <w:t>Information security and records maintenance</w:t>
      </w:r>
    </w:p>
    <w:p w14:paraId="7A5EE057" w14:textId="77777777" w:rsidR="00216AEE" w:rsidRPr="00216AEE" w:rsidRDefault="00216AEE" w:rsidP="00216AEE">
      <w:pPr>
        <w:pStyle w:val="GIBodyBullets1"/>
        <w:spacing w:before="0" w:after="120"/>
        <w:ind w:left="1349" w:hanging="357"/>
        <w:rPr>
          <w:color w:val="auto"/>
        </w:rPr>
      </w:pPr>
      <w:r w:rsidRPr="00216AEE">
        <w:rPr>
          <w:color w:val="auto"/>
        </w:rPr>
        <w:t>Data privacy</w:t>
      </w:r>
    </w:p>
    <w:p w14:paraId="24D1526F" w14:textId="77777777" w:rsidR="00216AEE" w:rsidRPr="00216AEE" w:rsidRDefault="00216AEE" w:rsidP="00216AEE">
      <w:pPr>
        <w:pStyle w:val="GIBodyBullets1"/>
        <w:spacing w:before="0" w:after="120"/>
        <w:ind w:left="1349" w:hanging="357"/>
        <w:rPr>
          <w:color w:val="auto"/>
        </w:rPr>
      </w:pPr>
      <w:r w:rsidRPr="00216AEE">
        <w:rPr>
          <w:color w:val="auto"/>
        </w:rPr>
        <w:t>Conflict of interest</w:t>
      </w:r>
    </w:p>
    <w:p w14:paraId="0D54244D" w14:textId="77777777" w:rsidR="00216AEE" w:rsidRPr="00216AEE" w:rsidRDefault="00216AEE" w:rsidP="00216AEE">
      <w:pPr>
        <w:pStyle w:val="GIBodyBullets1"/>
        <w:spacing w:before="0" w:after="120"/>
        <w:ind w:left="1349" w:hanging="357"/>
        <w:rPr>
          <w:color w:val="auto"/>
        </w:rPr>
      </w:pPr>
      <w:r w:rsidRPr="00216AEE">
        <w:rPr>
          <w:color w:val="auto"/>
        </w:rPr>
        <w:t>Labor</w:t>
      </w:r>
    </w:p>
    <w:p w14:paraId="70014562" w14:textId="77777777" w:rsidR="00216AEE" w:rsidRPr="00216AEE" w:rsidRDefault="00216AEE" w:rsidP="00216AEE">
      <w:pPr>
        <w:numPr>
          <w:ilvl w:val="2"/>
          <w:numId w:val="24"/>
        </w:numPr>
        <w:suppressAutoHyphens/>
        <w:spacing w:before="0" w:after="200" w:line="276" w:lineRule="auto"/>
        <w:contextualSpacing/>
      </w:pPr>
      <w:r w:rsidRPr="00216AEE">
        <w:t>compliance with standards set out in the UN Universal Declaration of Human Rights,</w:t>
      </w:r>
    </w:p>
    <w:p w14:paraId="7BCFAF44" w14:textId="77777777" w:rsidR="00216AEE" w:rsidRPr="00216AEE" w:rsidRDefault="00216AEE" w:rsidP="00216AEE">
      <w:pPr>
        <w:numPr>
          <w:ilvl w:val="2"/>
          <w:numId w:val="24"/>
        </w:numPr>
        <w:suppressAutoHyphens/>
        <w:spacing w:before="0" w:after="200" w:line="276" w:lineRule="auto"/>
        <w:contextualSpacing/>
      </w:pPr>
      <w:r w:rsidRPr="00216AEE">
        <w:t>child labor,</w:t>
      </w:r>
    </w:p>
    <w:p w14:paraId="6983CED8" w14:textId="77777777" w:rsidR="00216AEE" w:rsidRPr="00216AEE" w:rsidRDefault="00216AEE" w:rsidP="00216AEE">
      <w:pPr>
        <w:numPr>
          <w:ilvl w:val="2"/>
          <w:numId w:val="24"/>
        </w:numPr>
        <w:suppressAutoHyphens/>
        <w:spacing w:before="0" w:after="200" w:line="276" w:lineRule="auto"/>
        <w:contextualSpacing/>
      </w:pPr>
      <w:r w:rsidRPr="00216AEE">
        <w:t xml:space="preserve">human trafficking, slavery and right to voluntary labor, </w:t>
      </w:r>
    </w:p>
    <w:p w14:paraId="00A31A27" w14:textId="77777777" w:rsidR="00216AEE" w:rsidRPr="00216AEE" w:rsidRDefault="00216AEE" w:rsidP="00216AEE">
      <w:pPr>
        <w:numPr>
          <w:ilvl w:val="2"/>
          <w:numId w:val="24"/>
        </w:numPr>
        <w:suppressAutoHyphens/>
        <w:spacing w:before="0" w:after="200" w:line="276" w:lineRule="auto"/>
        <w:contextualSpacing/>
      </w:pPr>
      <w:r w:rsidRPr="00216AEE">
        <w:t>freedom against prejudice and discrimination,</w:t>
      </w:r>
    </w:p>
    <w:p w14:paraId="0C2EE9F1" w14:textId="77777777" w:rsidR="00216AEE" w:rsidRPr="00216AEE" w:rsidRDefault="00216AEE" w:rsidP="00216AEE">
      <w:pPr>
        <w:numPr>
          <w:ilvl w:val="2"/>
          <w:numId w:val="24"/>
        </w:numPr>
        <w:suppressAutoHyphens/>
        <w:spacing w:before="0" w:after="200" w:line="276" w:lineRule="auto"/>
        <w:contextualSpacing/>
      </w:pPr>
      <w:r w:rsidRPr="00216AEE">
        <w:t>safe and secure workplace,</w:t>
      </w:r>
    </w:p>
    <w:p w14:paraId="7ED176A0" w14:textId="77777777" w:rsidR="00216AEE" w:rsidRPr="00216AEE" w:rsidRDefault="00216AEE" w:rsidP="00216AEE">
      <w:pPr>
        <w:numPr>
          <w:ilvl w:val="2"/>
          <w:numId w:val="24"/>
        </w:numPr>
        <w:suppressAutoHyphens/>
        <w:spacing w:before="0" w:after="200" w:line="276" w:lineRule="auto"/>
        <w:contextualSpacing/>
      </w:pPr>
      <w:r w:rsidRPr="00216AEE">
        <w:t>working hours and wages,</w:t>
      </w:r>
    </w:p>
    <w:p w14:paraId="3292EEAF" w14:textId="77777777" w:rsidR="00216AEE" w:rsidRPr="00216AEE" w:rsidRDefault="00216AEE" w:rsidP="00216AEE">
      <w:pPr>
        <w:pStyle w:val="GIBodyBullets1"/>
        <w:spacing w:before="0" w:after="120"/>
        <w:ind w:left="1349" w:hanging="357"/>
        <w:rPr>
          <w:color w:val="auto"/>
        </w:rPr>
      </w:pPr>
      <w:r w:rsidRPr="00216AEE">
        <w:rPr>
          <w:color w:val="auto"/>
        </w:rPr>
        <w:t>Health and safety</w:t>
      </w:r>
    </w:p>
    <w:p w14:paraId="49DB7183" w14:textId="77777777" w:rsidR="00216AEE" w:rsidRPr="00216AEE" w:rsidRDefault="00216AEE" w:rsidP="00216AEE">
      <w:pPr>
        <w:pStyle w:val="GIBodyBullets1"/>
        <w:spacing w:before="0" w:after="120"/>
        <w:ind w:left="1349" w:hanging="357"/>
        <w:rPr>
          <w:color w:val="auto"/>
        </w:rPr>
      </w:pPr>
      <w:r w:rsidRPr="00216AEE">
        <w:rPr>
          <w:color w:val="auto"/>
        </w:rPr>
        <w:t>Environment and sustainability</w:t>
      </w:r>
    </w:p>
    <w:p w14:paraId="029E8270" w14:textId="77777777" w:rsidR="00216AEE" w:rsidRPr="00216AEE" w:rsidRDefault="00216AEE" w:rsidP="00216AEE">
      <w:pPr>
        <w:pStyle w:val="GIBodyBullets1"/>
        <w:spacing w:before="0" w:after="120"/>
        <w:ind w:left="1349" w:hanging="357"/>
        <w:rPr>
          <w:color w:val="auto"/>
        </w:rPr>
      </w:pPr>
      <w:r w:rsidRPr="00216AEE">
        <w:rPr>
          <w:color w:val="auto"/>
        </w:rPr>
        <w:t>Gifts and gratuities</w:t>
      </w:r>
    </w:p>
    <w:p w14:paraId="63C2FD5A" w14:textId="7FB49211" w:rsidR="002A2ED5" w:rsidRPr="005476F3" w:rsidRDefault="002A2ED5" w:rsidP="00857C1D">
      <w:pPr>
        <w:pStyle w:val="GIBulletXX"/>
        <w:rPr>
          <w:color w:val="auto"/>
        </w:rPr>
      </w:pPr>
      <w:r w:rsidRPr="005476F3">
        <w:rPr>
          <w:color w:val="auto"/>
        </w:rPr>
        <w:t>Does this portfolio take into account principal adverse impacts on sustainability factors?</w:t>
      </w:r>
    </w:p>
    <w:p w14:paraId="0461D18F" w14:textId="5B89BDAC" w:rsidR="00997D1C" w:rsidRPr="00350FBA" w:rsidRDefault="00997D1C" w:rsidP="00350FBA">
      <w:pPr>
        <w:ind w:left="0"/>
        <w:jc w:val="both"/>
        <w:rPr>
          <w:lang w:val="en-GB"/>
        </w:rPr>
      </w:pPr>
      <w:r w:rsidRPr="00350FBA">
        <w:rPr>
          <w:lang w:val="en-GB"/>
        </w:rPr>
        <w:t xml:space="preserve">The SFDR requires Green Generation to make a "comply or explain" decision whether to consider the principal adverse impacts ("PAIs") of its investment decisions on sustainability factors, in accordance with a specific regime outlined in SFDR. </w:t>
      </w:r>
      <w:r w:rsidR="005A7F02" w:rsidRPr="00350FBA">
        <w:rPr>
          <w:lang w:val="en-GB"/>
        </w:rPr>
        <w:t xml:space="preserve">Green Generation </w:t>
      </w:r>
      <w:r w:rsidRPr="00350FBA">
        <w:rPr>
          <w:lang w:val="en-GB"/>
        </w:rPr>
        <w:t xml:space="preserve">has opted not to comply with that regime, both generally and in relation to the Fund. </w:t>
      </w:r>
    </w:p>
    <w:p w14:paraId="37B120B5" w14:textId="40B336B5" w:rsidR="00997D1C" w:rsidRPr="00350FBA" w:rsidRDefault="00D17A70" w:rsidP="00350FBA">
      <w:pPr>
        <w:ind w:left="0"/>
        <w:jc w:val="both"/>
        <w:rPr>
          <w:lang w:val="en-GB"/>
        </w:rPr>
      </w:pPr>
      <w:r w:rsidRPr="00350FBA">
        <w:rPr>
          <w:lang w:val="en-GB"/>
        </w:rPr>
        <w:t xml:space="preserve">Green Generation </w:t>
      </w:r>
      <w:r w:rsidR="00997D1C" w:rsidRPr="00350FBA">
        <w:rPr>
          <w:lang w:val="en-GB"/>
        </w:rPr>
        <w:t xml:space="preserve">will keep its decision not to comply with the PAI regime under regular review. </w:t>
      </w:r>
    </w:p>
    <w:p w14:paraId="21409DB7" w14:textId="18F2DD8A" w:rsidR="00997D1C" w:rsidRPr="00350FBA" w:rsidRDefault="00D17A70" w:rsidP="00350FBA">
      <w:pPr>
        <w:ind w:left="0"/>
        <w:jc w:val="both"/>
        <w:rPr>
          <w:lang w:val="en-GB"/>
        </w:rPr>
      </w:pPr>
      <w:r w:rsidRPr="00350FBA">
        <w:rPr>
          <w:lang w:val="en-GB"/>
        </w:rPr>
        <w:t xml:space="preserve">Green Generation </w:t>
      </w:r>
      <w:r w:rsidR="00997D1C" w:rsidRPr="00350FBA">
        <w:rPr>
          <w:lang w:val="en-GB"/>
        </w:rPr>
        <w:t xml:space="preserve">has carefully evaluated the requirements of the PAI regime in Article 4 of the SFDR, and in the draft Regulatory Technical Standards which were published in April 2020 (the "PAI regime"). </w:t>
      </w:r>
      <w:r w:rsidRPr="00350FBA">
        <w:rPr>
          <w:lang w:val="en-GB"/>
        </w:rPr>
        <w:t xml:space="preserve">Green Generation </w:t>
      </w:r>
      <w:r w:rsidR="00997D1C" w:rsidRPr="00350FBA">
        <w:rPr>
          <w:lang w:val="en-GB"/>
        </w:rPr>
        <w:t xml:space="preserve">is supportive of the policy aims of the PAI regime, to improve transparency to clients, investors and the market, as to how financial market participants integrate consideration of the adverse impacts of investment decisions on sustainability factors. However, </w:t>
      </w:r>
      <w:r w:rsidRPr="00350FBA">
        <w:rPr>
          <w:lang w:val="en-GB"/>
        </w:rPr>
        <w:t xml:space="preserve">Green Generation </w:t>
      </w:r>
      <w:r w:rsidR="00997D1C" w:rsidRPr="00350FBA">
        <w:rPr>
          <w:lang w:val="en-GB"/>
        </w:rPr>
        <w:t xml:space="preserve">is concerned about the lack of readily available data to comply with many of the reporting requirements of the PAI regime, as </w:t>
      </w:r>
      <w:r w:rsidRPr="00350FBA">
        <w:rPr>
          <w:lang w:val="en-GB"/>
        </w:rPr>
        <w:t xml:space="preserve">Green Generation </w:t>
      </w:r>
      <w:r w:rsidR="00997D1C" w:rsidRPr="00350FBA">
        <w:rPr>
          <w:lang w:val="en-GB"/>
        </w:rPr>
        <w:t>believes that companies and market data providers are not yet ready to make available all necessary data for the PAI regime.</w:t>
      </w:r>
    </w:p>
    <w:p w14:paraId="621C36B8" w14:textId="47874BE6" w:rsidR="00997D1C" w:rsidRPr="00350FBA" w:rsidRDefault="00997D1C" w:rsidP="00350FBA">
      <w:pPr>
        <w:ind w:left="0"/>
        <w:jc w:val="both"/>
        <w:rPr>
          <w:lang w:val="en-GB"/>
        </w:rPr>
      </w:pPr>
      <w:r w:rsidRPr="00350FBA">
        <w:rPr>
          <w:lang w:val="en-GB"/>
        </w:rPr>
        <w:t xml:space="preserve">Notwithstanding </w:t>
      </w:r>
      <w:r w:rsidR="00D17A70" w:rsidRPr="00350FBA">
        <w:rPr>
          <w:lang w:val="en-GB"/>
        </w:rPr>
        <w:t>Green Generation</w:t>
      </w:r>
      <w:r w:rsidRPr="00350FBA">
        <w:rPr>
          <w:lang w:val="en-GB"/>
        </w:rPr>
        <w:t xml:space="preserve">'s decision not to comply with the PAI regime, </w:t>
      </w:r>
      <w:r w:rsidR="0096222E" w:rsidRPr="00350FBA">
        <w:rPr>
          <w:lang w:val="en-GB"/>
        </w:rPr>
        <w:t xml:space="preserve">Green Generation </w:t>
      </w:r>
      <w:r w:rsidRPr="00350FBA">
        <w:rPr>
          <w:lang w:val="en-GB"/>
        </w:rPr>
        <w:t xml:space="preserve">has implemented positive ESG-related initiatives and policies, as part of its overall commitment to ESG matters, as summarised in this section. For the avoidance of doubt, none of the following information is intended to suggest that </w:t>
      </w:r>
      <w:r w:rsidR="0096222E" w:rsidRPr="00350FBA">
        <w:rPr>
          <w:lang w:val="en-GB"/>
        </w:rPr>
        <w:t xml:space="preserve">Green Generation </w:t>
      </w:r>
      <w:r w:rsidRPr="00350FBA">
        <w:rPr>
          <w:lang w:val="en-GB"/>
        </w:rPr>
        <w:t>complies with the PAI regime.</w:t>
      </w:r>
    </w:p>
    <w:p w14:paraId="764D3D54" w14:textId="647B1D34" w:rsidR="005976AD" w:rsidRPr="005476F3" w:rsidRDefault="005976AD" w:rsidP="00350FBA">
      <w:pPr>
        <w:pStyle w:val="GIBulletXXX"/>
      </w:pPr>
      <w:r w:rsidRPr="005476F3">
        <w:t>Can I find I find more product specific information online?</w:t>
      </w:r>
    </w:p>
    <w:p w14:paraId="5D8BA112" w14:textId="212D16A1" w:rsidR="00EE2F10" w:rsidRPr="005476F3" w:rsidRDefault="005976AD" w:rsidP="001807F4">
      <w:pPr>
        <w:ind w:left="0"/>
        <w:rPr>
          <w:rStyle w:val="eop"/>
          <w:lang w:val="en-GB"/>
        </w:rPr>
      </w:pPr>
      <w:r w:rsidRPr="005476F3">
        <w:rPr>
          <w:lang w:val="en-GB"/>
        </w:rPr>
        <w:t>Yes, more product-specific information can be fo</w:t>
      </w:r>
      <w:r w:rsidRPr="00637AD5">
        <w:rPr>
          <w:lang w:val="en-GB"/>
        </w:rPr>
        <w:t xml:space="preserve">und </w:t>
      </w:r>
      <w:r w:rsidR="00490EFC" w:rsidRPr="00637AD5">
        <w:rPr>
          <w:lang w:val="en-GB"/>
        </w:rPr>
        <w:t>here</w:t>
      </w:r>
      <w:r w:rsidRPr="00637AD5">
        <w:rPr>
          <w:lang w:val="en-GB"/>
        </w:rPr>
        <w:t>: [</w:t>
      </w:r>
      <w:r w:rsidR="00637AD5" w:rsidRPr="00BD15ED">
        <w:rPr>
          <w:highlight w:val="green"/>
          <w:lang w:val="en-GB"/>
        </w:rPr>
        <w:t>relevant hyperlink</w:t>
      </w:r>
      <w:r w:rsidRPr="00637AD5">
        <w:rPr>
          <w:lang w:val="en-GB"/>
        </w:rPr>
        <w:t>]</w:t>
      </w:r>
    </w:p>
    <w:p w14:paraId="38883A63" w14:textId="6385C3E1" w:rsidR="005976AD" w:rsidRPr="005476F3" w:rsidRDefault="005976AD" w:rsidP="00347E04">
      <w:pPr>
        <w:pStyle w:val="GIBulletXX"/>
        <w:rPr>
          <w:color w:val="auto"/>
        </w:rPr>
      </w:pPr>
      <w:r w:rsidRPr="005476F3">
        <w:rPr>
          <w:color w:val="auto"/>
        </w:rPr>
        <w:t>Is a specific index designated as a reference benchmark</w:t>
      </w:r>
      <w:r w:rsidR="00490EFC" w:rsidRPr="005476F3">
        <w:rPr>
          <w:color w:val="auto"/>
        </w:rPr>
        <w:t xml:space="preserve"> TO</w:t>
      </w:r>
      <w:r w:rsidRPr="005476F3">
        <w:rPr>
          <w:color w:val="auto"/>
        </w:rPr>
        <w:t xml:space="preserve"> </w:t>
      </w:r>
      <w:r w:rsidR="00490EFC" w:rsidRPr="005476F3">
        <w:rPr>
          <w:color w:val="auto"/>
        </w:rPr>
        <w:t>determine whether this financial product is aligned with the environmental or social characteristics that it promotes?</w:t>
      </w:r>
    </w:p>
    <w:p w14:paraId="7CE465C7" w14:textId="4DCDE538" w:rsidR="00E82E6E" w:rsidRPr="005476F3" w:rsidRDefault="00E82E6E" w:rsidP="00E82E6E">
      <w:pPr>
        <w:ind w:left="0"/>
        <w:jc w:val="both"/>
      </w:pPr>
      <w:r w:rsidRPr="005476F3">
        <w:t xml:space="preserve">There is no reference benchmark index currently </w:t>
      </w:r>
      <w:r>
        <w:t>used for our investments in small or medium-sized enterprises and small mid-cap businesses</w:t>
      </w:r>
      <w:r w:rsidRPr="005476F3">
        <w:t>, however</w:t>
      </w:r>
      <w:r>
        <w:t>,</w:t>
      </w:r>
      <w:r w:rsidRPr="005476F3">
        <w:t xml:space="preserve"> </w:t>
      </w:r>
      <w:r w:rsidRPr="00E82E6E">
        <w:t>we</w:t>
      </w:r>
      <w:r w:rsidRPr="005476F3">
        <w:t xml:space="preserve"> </w:t>
      </w:r>
      <w:r w:rsidR="001A1F17">
        <w:t>have</w:t>
      </w:r>
      <w:r w:rsidRPr="005476F3">
        <w:t xml:space="preserve"> aligned with </w:t>
      </w:r>
      <w:r>
        <w:t>the solutions provided by ISS</w:t>
      </w:r>
      <w:r>
        <w:rPr>
          <w:rStyle w:val="FootnoteReference"/>
        </w:rPr>
        <w:footnoteReference w:id="3"/>
      </w:r>
      <w:r w:rsidRPr="005476F3">
        <w:t xml:space="preserve"> when setting up the performance measurement framework for the Fund.</w:t>
      </w:r>
    </w:p>
    <w:p w14:paraId="4BFEAD61" w14:textId="045F1330" w:rsidR="005976AD" w:rsidRPr="00482837" w:rsidRDefault="001B52EB" w:rsidP="00350FBA">
      <w:pPr>
        <w:pStyle w:val="GIBulletXXX"/>
      </w:pPr>
      <w:r>
        <w:t xml:space="preserve">a. </w:t>
      </w:r>
      <w:r w:rsidR="005976AD" w:rsidRPr="00482837">
        <w:t xml:space="preserve">How does the reference benchmark take into account sustainability factors in a way that is continuously aligned </w:t>
      </w:r>
      <w:r w:rsidR="00490EFC" w:rsidRPr="00482837">
        <w:t>with each of the environmental or social characteristics promoted by the financial product and with the investment</w:t>
      </w:r>
      <w:r w:rsidR="00490EFC" w:rsidRPr="00D164C4">
        <w:rPr>
          <w:b/>
          <w:bCs/>
        </w:rPr>
        <w:t xml:space="preserve"> </w:t>
      </w:r>
      <w:r w:rsidR="00490EFC" w:rsidRPr="00482837">
        <w:t>strategy</w:t>
      </w:r>
      <w:r w:rsidR="005976AD" w:rsidRPr="00482837">
        <w:t>?</w:t>
      </w:r>
    </w:p>
    <w:p w14:paraId="044E3783" w14:textId="1AD74F2C" w:rsidR="005976AD" w:rsidRPr="005476F3" w:rsidRDefault="00696729" w:rsidP="005976AD">
      <w:pPr>
        <w:ind w:left="0"/>
        <w:rPr>
          <w:lang w:val="en-GB"/>
        </w:rPr>
      </w:pPr>
      <w:bookmarkStart w:id="1" w:name="_Hlk76743575"/>
      <w:r>
        <w:rPr>
          <w:lang w:val="en-GB"/>
        </w:rPr>
        <w:t xml:space="preserve">Not applicable. </w:t>
      </w:r>
    </w:p>
    <w:bookmarkEnd w:id="1"/>
    <w:p w14:paraId="47B444D4" w14:textId="06ECE611" w:rsidR="005976AD" w:rsidRPr="005476F3" w:rsidRDefault="001B52EB" w:rsidP="00350FBA">
      <w:pPr>
        <w:pStyle w:val="GIBulletXXX"/>
      </w:pPr>
      <w:r>
        <w:t xml:space="preserve">b. </w:t>
      </w:r>
      <w:r w:rsidR="005976AD" w:rsidRPr="005476F3">
        <w:t>How is the alignment of the investment strategy with the methodology of the index ensured on a continuous basis?</w:t>
      </w:r>
    </w:p>
    <w:p w14:paraId="53016F9E" w14:textId="05E4D491" w:rsidR="000C7DC9" w:rsidRPr="005476F3" w:rsidRDefault="00696729" w:rsidP="000C7DC9">
      <w:pPr>
        <w:ind w:left="0"/>
        <w:rPr>
          <w:lang w:val="en-GB"/>
        </w:rPr>
      </w:pPr>
      <w:r>
        <w:rPr>
          <w:lang w:val="en-GB"/>
        </w:rPr>
        <w:t xml:space="preserve">Not applicable. </w:t>
      </w:r>
    </w:p>
    <w:p w14:paraId="35F0EB9F" w14:textId="4E591135" w:rsidR="005976AD" w:rsidRPr="005476F3" w:rsidRDefault="001B52EB" w:rsidP="00350FBA">
      <w:pPr>
        <w:pStyle w:val="GIBulletXXX"/>
      </w:pPr>
      <w:r>
        <w:t xml:space="preserve">c. </w:t>
      </w:r>
      <w:r w:rsidR="005976AD" w:rsidRPr="005476F3">
        <w:t>Why and how does the designated index differ from a relevant broad market index?</w:t>
      </w:r>
    </w:p>
    <w:p w14:paraId="768C1584" w14:textId="5E4C2CA2" w:rsidR="005976AD" w:rsidRPr="005476F3" w:rsidRDefault="00696729" w:rsidP="000C7DC9">
      <w:pPr>
        <w:ind w:left="0"/>
        <w:rPr>
          <w:lang w:val="en-GB"/>
        </w:rPr>
      </w:pPr>
      <w:r>
        <w:rPr>
          <w:lang w:val="en-GB"/>
        </w:rPr>
        <w:t xml:space="preserve">Not applicable. </w:t>
      </w:r>
    </w:p>
    <w:sectPr w:rsidR="005976AD" w:rsidRPr="005476F3" w:rsidSect="00002867">
      <w:headerReference w:type="default" r:id="rId18"/>
      <w:type w:val="continuous"/>
      <w:pgSz w:w="11909" w:h="16834" w:code="9"/>
      <w:pgMar w:top="1514" w:right="794" w:bottom="1514" w:left="794" w:header="0" w:footer="720" w:gutter="0"/>
      <w:cols w:space="440"/>
      <w:noEndnote/>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fAEcASQBfAEIAbwBkAHkAIABCAHUAbABsAGUAdABzACAAM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620D4" w14:textId="77777777" w:rsidR="00781738" w:rsidRDefault="00781738" w:rsidP="006A4B23">
      <w:r>
        <w:separator/>
      </w:r>
    </w:p>
    <w:p w14:paraId="63E64DEA" w14:textId="77777777" w:rsidR="00781738" w:rsidRDefault="00781738" w:rsidP="006A4B23"/>
  </w:endnote>
  <w:endnote w:type="continuationSeparator" w:id="0">
    <w:p w14:paraId="03B1B9DA" w14:textId="77777777" w:rsidR="00781738" w:rsidRDefault="00781738" w:rsidP="006A4B23">
      <w:r>
        <w:continuationSeparator/>
      </w:r>
    </w:p>
    <w:p w14:paraId="543386A2" w14:textId="77777777" w:rsidR="00781738" w:rsidRDefault="00781738" w:rsidP="006A4B23"/>
  </w:endnote>
  <w:endnote w:type="continuationNotice" w:id="1">
    <w:p w14:paraId="1BD181F3" w14:textId="77777777" w:rsidR="00781738" w:rsidRDefault="0078173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utura Bk BT">
    <w:altName w:val="Segoe UI"/>
    <w:charset w:val="00"/>
    <w:family w:val="swiss"/>
    <w:pitch w:val="variable"/>
    <w:sig w:usb0="800000AF" w:usb1="1000204A"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MdCn BT">
    <w:altName w:val="Arial Narrow"/>
    <w:charset w:val="00"/>
    <w:family w:val="swiss"/>
    <w:pitch w:val="variable"/>
    <w:sig w:usb0="800000AF" w:usb1="1000204A" w:usb2="00000000" w:usb3="00000000" w:csb0="0000001B" w:csb1="00000000"/>
  </w:font>
  <w:font w:name="Futura Md BT">
    <w:altName w:val="Cambria"/>
    <w:charset w:val="00"/>
    <w:family w:val="swiss"/>
    <w:pitch w:val="variable"/>
    <w:sig w:usb0="00000087" w:usb1="00000000" w:usb2="00000000" w:usb3="00000000" w:csb0="0000001B" w:csb1="00000000"/>
  </w:font>
  <w:font w:name="Minion Pro">
    <w:panose1 w:val="00000000000000000000"/>
    <w:charset w:val="00"/>
    <w:family w:val="roman"/>
    <w:notTrueType/>
    <w:pitch w:val="variable"/>
    <w:sig w:usb0="6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 Lt BT">
    <w:altName w:val="Segoe UI"/>
    <w:charset w:val="00"/>
    <w:family w:val="swiss"/>
    <w:pitch w:val="variable"/>
    <w:sig w:usb0="800000AF"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uturaBT-Book">
    <w:altName w:val="Century Gothic"/>
    <w:panose1 w:val="00000000000000000000"/>
    <w:charset w:val="00"/>
    <w:family w:val="auto"/>
    <w:notTrueType/>
    <w:pitch w:val="default"/>
    <w:sig w:usb0="00000003" w:usb1="08070000" w:usb2="00000010" w:usb3="00000000" w:csb0="00020009"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753A6" w14:textId="77777777" w:rsidR="00F14AD1" w:rsidRDefault="00F14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76C2D" w14:textId="77777777" w:rsidR="00310D11" w:rsidRPr="005476F3" w:rsidRDefault="00310D11" w:rsidP="00080F48">
    <w:pPr>
      <w:pStyle w:val="GIHeader2"/>
      <w:jc w:val="right"/>
      <w:rPr>
        <w:rFonts w:asciiTheme="minorHAnsi" w:hAnsiTheme="minorHAnsi" w:cs="Futura Bk BT"/>
        <w:color w:val="auto"/>
        <w:sz w:val="16"/>
        <w:szCs w:val="19"/>
      </w:rPr>
    </w:pPr>
    <w:r w:rsidRPr="005476F3">
      <w:rPr>
        <w:rFonts w:asciiTheme="minorHAnsi" w:hAnsiTheme="minorHAnsi"/>
        <w:color w:val="auto"/>
        <w:sz w:val="16"/>
      </w:rPr>
      <w:t xml:space="preserve">confidential &amp; proprietary | document title | </w:t>
    </w:r>
    <w:r w:rsidRPr="005476F3">
      <w:rPr>
        <w:rFonts w:asciiTheme="minorHAnsi" w:hAnsiTheme="minorHAnsi"/>
        <w:color w:val="auto"/>
        <w:sz w:val="16"/>
      </w:rPr>
      <w:fldChar w:fldCharType="begin"/>
    </w:r>
    <w:r w:rsidRPr="005476F3">
      <w:rPr>
        <w:rFonts w:asciiTheme="minorHAnsi" w:hAnsiTheme="minorHAnsi"/>
        <w:color w:val="auto"/>
        <w:sz w:val="16"/>
      </w:rPr>
      <w:instrText xml:space="preserve"> PAGE   \* MERGEFORMAT </w:instrText>
    </w:r>
    <w:r w:rsidRPr="005476F3">
      <w:rPr>
        <w:rFonts w:asciiTheme="minorHAnsi" w:hAnsiTheme="minorHAnsi"/>
        <w:color w:val="auto"/>
        <w:sz w:val="16"/>
      </w:rPr>
      <w:fldChar w:fldCharType="separate"/>
    </w:r>
    <w:r w:rsidRPr="005476F3">
      <w:rPr>
        <w:rFonts w:asciiTheme="minorHAnsi" w:hAnsiTheme="minorHAnsi"/>
        <w:noProof/>
        <w:color w:val="auto"/>
        <w:sz w:val="16"/>
      </w:rPr>
      <w:t>2</w:t>
    </w:r>
    <w:r w:rsidRPr="005476F3">
      <w:rPr>
        <w:rFonts w:asciiTheme="minorHAnsi" w:hAnsiTheme="minorHAnsi"/>
        <w:noProof/>
        <w:color w:val="auto"/>
        <w:sz w:val="16"/>
      </w:rPr>
      <w:fldChar w:fldCharType="end"/>
    </w:r>
  </w:p>
  <w:p w14:paraId="0DADA8BB" w14:textId="77777777" w:rsidR="00310D11" w:rsidRPr="005476F3" w:rsidRDefault="00310D11" w:rsidP="006A4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A2484" w14:textId="77777777" w:rsidR="00F14AD1" w:rsidRDefault="00F14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6150D" w14:textId="77777777" w:rsidR="00781738" w:rsidRDefault="00781738" w:rsidP="006A4B23">
      <w:r>
        <w:separator/>
      </w:r>
    </w:p>
    <w:p w14:paraId="03F282B2" w14:textId="77777777" w:rsidR="00781738" w:rsidRDefault="00781738" w:rsidP="006A4B23"/>
  </w:footnote>
  <w:footnote w:type="continuationSeparator" w:id="0">
    <w:p w14:paraId="7210881A" w14:textId="77777777" w:rsidR="00781738" w:rsidRDefault="00781738" w:rsidP="006A4B23">
      <w:r>
        <w:continuationSeparator/>
      </w:r>
    </w:p>
    <w:p w14:paraId="7F423897" w14:textId="77777777" w:rsidR="00781738" w:rsidRDefault="00781738" w:rsidP="006A4B23"/>
  </w:footnote>
  <w:footnote w:type="continuationNotice" w:id="1">
    <w:p w14:paraId="55CC96C0" w14:textId="77777777" w:rsidR="00781738" w:rsidRDefault="00781738">
      <w:pPr>
        <w:spacing w:before="0" w:after="0"/>
      </w:pPr>
    </w:p>
  </w:footnote>
  <w:footnote w:id="2">
    <w:p w14:paraId="2A07A3C2" w14:textId="32FC7330" w:rsidR="00C17C32" w:rsidRDefault="00C17C32">
      <w:pPr>
        <w:pStyle w:val="FootnoteText"/>
      </w:pPr>
      <w:r>
        <w:rPr>
          <w:rStyle w:val="FootnoteReference"/>
        </w:rPr>
        <w:footnoteRef/>
      </w:r>
      <w:r>
        <w:t xml:space="preserve"> </w:t>
      </w:r>
      <w:r w:rsidR="00EC6E87" w:rsidRPr="00EC6E87">
        <w:rPr>
          <w:sz w:val="19"/>
          <w:szCs w:val="19"/>
        </w:rPr>
        <w:t>https://www.issgovernance.com/esg/index-solutions/</w:t>
      </w:r>
    </w:p>
  </w:footnote>
  <w:footnote w:id="3">
    <w:p w14:paraId="5E064D93" w14:textId="77777777" w:rsidR="00E82E6E" w:rsidRDefault="00E82E6E" w:rsidP="00E82E6E">
      <w:pPr>
        <w:pStyle w:val="FootnoteText"/>
      </w:pPr>
      <w:r>
        <w:rPr>
          <w:rStyle w:val="FootnoteReference"/>
        </w:rPr>
        <w:footnoteRef/>
      </w:r>
      <w:r>
        <w:t xml:space="preserve"> </w:t>
      </w:r>
      <w:r w:rsidRPr="00EC6E87">
        <w:rPr>
          <w:sz w:val="19"/>
          <w:szCs w:val="19"/>
        </w:rPr>
        <w:t>https://www.issgovernance.com/esg/index-solutions/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1FC72" w14:textId="77777777" w:rsidR="00F14AD1" w:rsidRDefault="00F14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8795E" w14:textId="77777777" w:rsidR="00F14AD1" w:rsidRDefault="00F14A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C3E77" w14:textId="77777777" w:rsidR="00837C80" w:rsidRDefault="00837C80" w:rsidP="00837C80">
    <w:pPr>
      <w:pStyle w:val="Header"/>
    </w:pPr>
    <w:r>
      <w:tab/>
    </w:r>
    <w:r>
      <w:tab/>
    </w:r>
  </w:p>
  <w:p w14:paraId="418DA9E3" w14:textId="7CC4F317" w:rsidR="000B5197" w:rsidRPr="00837C80" w:rsidRDefault="00837C80" w:rsidP="00837C80">
    <w:pPr>
      <w:pStyle w:val="Header"/>
    </w:pPr>
    <w:r>
      <w:tab/>
    </w:r>
    <w:r>
      <w:tab/>
    </w:r>
    <w:r>
      <w:rPr>
        <w:noProof/>
      </w:rPr>
      <w:drawing>
        <wp:inline distT="0" distB="0" distL="0" distR="0" wp14:anchorId="51A7AFB8" wp14:editId="5FFBB1BB">
          <wp:extent cx="356235" cy="476885"/>
          <wp:effectExtent l="0" t="0" r="5715"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356235" cy="47688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06759" w14:textId="77777777" w:rsidR="00310D11" w:rsidRPr="009133E3" w:rsidRDefault="00310D11" w:rsidP="006A4B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127E1"/>
    <w:multiLevelType w:val="hybridMultilevel"/>
    <w:tmpl w:val="8B4EC67A"/>
    <w:name w:val="_GI_Body Bullets 1"/>
    <w:lvl w:ilvl="0" w:tplc="EF5418D8">
      <w:start w:val="1"/>
      <w:numFmt w:val="bullet"/>
      <w:pStyle w:val="GIBodyBullets1"/>
      <w:lvlText w:val="•"/>
      <w:lvlJc w:val="left"/>
      <w:pPr>
        <w:ind w:left="1353" w:hanging="360"/>
      </w:pPr>
      <w:rPr>
        <w:rFonts w:ascii="Futura Bk BT" w:hAnsi="Futura Bk BT" w:hint="default"/>
        <w:caps w:val="0"/>
        <w:strike w:val="0"/>
        <w:dstrike w:val="0"/>
        <w:vanish w:val="0"/>
        <w:color w:val="auto"/>
        <w:vertAlign w:val="baseline"/>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 w15:restartNumberingAfterBreak="0">
    <w:nsid w:val="10E12C54"/>
    <w:multiLevelType w:val="hybridMultilevel"/>
    <w:tmpl w:val="BD52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749FE"/>
    <w:multiLevelType w:val="multilevel"/>
    <w:tmpl w:val="EF2CFF62"/>
    <w:name w:val="_GI_Header 1 Section"/>
    <w:lvl w:ilvl="0">
      <w:start w:val="1"/>
      <w:numFmt w:val="decimal"/>
      <w:pStyle w:val="GIHeader1Section"/>
      <w:lvlText w:val="%1."/>
      <w:lvlJc w:val="left"/>
      <w:pPr>
        <w:ind w:left="360" w:hanging="360"/>
      </w:pPr>
      <w:rPr>
        <w:rFonts w:hint="default"/>
        <w:color w:val="006A4D" w:themeColor="accent1"/>
        <w:spacing w:val="0"/>
        <w:w w:val="100"/>
        <w:position w:val="0"/>
        <w:sz w:val="48"/>
      </w:rPr>
    </w:lvl>
    <w:lvl w:ilvl="1">
      <w:start w:val="1"/>
      <w:numFmt w:val="decimal"/>
      <w:lvlText w:val="%1.%2"/>
      <w:lvlJc w:val="left"/>
      <w:pPr>
        <w:ind w:left="360" w:hanging="360"/>
      </w:pPr>
      <w:rPr>
        <w:rFonts w:ascii="Futura MdCn BT" w:hAnsi="Futura MdCn BT" w:hint="default"/>
        <w:sz w:val="28"/>
      </w:rPr>
    </w:lvl>
    <w:lvl w:ilvl="2">
      <w:start w:val="1"/>
      <w:numFmt w:val="decimal"/>
      <w:lvlText w:val="%1.%2.%3"/>
      <w:lvlJc w:val="left"/>
      <w:pPr>
        <w:ind w:left="1080" w:hanging="360"/>
      </w:pPr>
      <w:rPr>
        <w:rFonts w:hint="default"/>
      </w:rPr>
    </w:lvl>
    <w:lvl w:ilvl="3">
      <w:start w:val="1"/>
      <w:numFmt w:val="decimal"/>
      <w:lvlText w:val="%1.%2.%3.%4"/>
      <w:lvlJc w:val="left"/>
      <w:pPr>
        <w:ind w:left="1352"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F72C80"/>
    <w:multiLevelType w:val="hybridMultilevel"/>
    <w:tmpl w:val="00CE2EF8"/>
    <w:name w:val="_GI_Bullet X.X.X"/>
    <w:lvl w:ilvl="0" w:tplc="4BD82168">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915DA"/>
    <w:multiLevelType w:val="hybridMultilevel"/>
    <w:tmpl w:val="E45C1A82"/>
    <w:name w:val="_GI_Body Bullets 2"/>
    <w:lvl w:ilvl="0" w:tplc="2DF8CADC">
      <w:start w:val="1"/>
      <w:numFmt w:val="bullet"/>
      <w:pStyle w:val="GIBodyBullets2"/>
      <w:lvlText w:val="−"/>
      <w:lvlJc w:val="left"/>
      <w:pPr>
        <w:ind w:left="900" w:hanging="360"/>
      </w:pPr>
      <w:rPr>
        <w:rFonts w:ascii="Futura Bk BT" w:hAnsi="Futura Bk BT" w:hint="default"/>
        <w:caps w:val="0"/>
        <w:strike w:val="0"/>
        <w:dstrike w:val="0"/>
        <w:vanish w:val="0"/>
        <w:color w:val="006A4D" w:themeColor="accent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61B54"/>
    <w:multiLevelType w:val="hybridMultilevel"/>
    <w:tmpl w:val="2E002B22"/>
    <w:name w:val="_GI_Body Numbered List"/>
    <w:lvl w:ilvl="0" w:tplc="389C428A">
      <w:start w:val="1"/>
      <w:numFmt w:val="decimal"/>
      <w:pStyle w:val="GIBodyNumberedList"/>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662AC0"/>
    <w:multiLevelType w:val="hybridMultilevel"/>
    <w:tmpl w:val="8B329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2C4EA0"/>
    <w:multiLevelType w:val="hybridMultilevel"/>
    <w:tmpl w:val="60A86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F92AAC"/>
    <w:multiLevelType w:val="hybridMultilevel"/>
    <w:tmpl w:val="99361DD6"/>
    <w:lvl w:ilvl="0" w:tplc="04070001">
      <w:start w:val="1"/>
      <w:numFmt w:val="bullet"/>
      <w:lvlText w:val=""/>
      <w:lvlJc w:val="left"/>
      <w:pPr>
        <w:ind w:left="1059" w:hanging="360"/>
      </w:pPr>
      <w:rPr>
        <w:rFonts w:ascii="Symbol" w:hAnsi="Symbol" w:hint="default"/>
      </w:rPr>
    </w:lvl>
    <w:lvl w:ilvl="1" w:tplc="04070003">
      <w:start w:val="1"/>
      <w:numFmt w:val="bullet"/>
      <w:lvlText w:val="o"/>
      <w:lvlJc w:val="left"/>
      <w:pPr>
        <w:ind w:left="1779" w:hanging="360"/>
      </w:pPr>
      <w:rPr>
        <w:rFonts w:ascii="Courier New" w:hAnsi="Courier New" w:cs="Courier New" w:hint="default"/>
      </w:rPr>
    </w:lvl>
    <w:lvl w:ilvl="2" w:tplc="04070005">
      <w:start w:val="1"/>
      <w:numFmt w:val="bullet"/>
      <w:lvlText w:val=""/>
      <w:lvlJc w:val="left"/>
      <w:pPr>
        <w:ind w:left="2499" w:hanging="360"/>
      </w:pPr>
      <w:rPr>
        <w:rFonts w:ascii="Wingdings" w:hAnsi="Wingdings" w:hint="default"/>
      </w:rPr>
    </w:lvl>
    <w:lvl w:ilvl="3" w:tplc="04070001">
      <w:start w:val="1"/>
      <w:numFmt w:val="bullet"/>
      <w:lvlText w:val=""/>
      <w:lvlJc w:val="left"/>
      <w:pPr>
        <w:ind w:left="3219" w:hanging="360"/>
      </w:pPr>
      <w:rPr>
        <w:rFonts w:ascii="Symbol" w:hAnsi="Symbol" w:hint="default"/>
      </w:rPr>
    </w:lvl>
    <w:lvl w:ilvl="4" w:tplc="04070003">
      <w:start w:val="1"/>
      <w:numFmt w:val="bullet"/>
      <w:lvlText w:val="o"/>
      <w:lvlJc w:val="left"/>
      <w:pPr>
        <w:ind w:left="3939" w:hanging="360"/>
      </w:pPr>
      <w:rPr>
        <w:rFonts w:ascii="Courier New" w:hAnsi="Courier New" w:cs="Courier New" w:hint="default"/>
      </w:rPr>
    </w:lvl>
    <w:lvl w:ilvl="5" w:tplc="04070005">
      <w:start w:val="1"/>
      <w:numFmt w:val="bullet"/>
      <w:lvlText w:val=""/>
      <w:lvlJc w:val="left"/>
      <w:pPr>
        <w:ind w:left="4659" w:hanging="360"/>
      </w:pPr>
      <w:rPr>
        <w:rFonts w:ascii="Wingdings" w:hAnsi="Wingdings" w:hint="default"/>
      </w:rPr>
    </w:lvl>
    <w:lvl w:ilvl="6" w:tplc="04070001">
      <w:start w:val="1"/>
      <w:numFmt w:val="bullet"/>
      <w:lvlText w:val=""/>
      <w:lvlJc w:val="left"/>
      <w:pPr>
        <w:ind w:left="5379" w:hanging="360"/>
      </w:pPr>
      <w:rPr>
        <w:rFonts w:ascii="Symbol" w:hAnsi="Symbol" w:hint="default"/>
      </w:rPr>
    </w:lvl>
    <w:lvl w:ilvl="7" w:tplc="04070003">
      <w:start w:val="1"/>
      <w:numFmt w:val="bullet"/>
      <w:lvlText w:val="o"/>
      <w:lvlJc w:val="left"/>
      <w:pPr>
        <w:ind w:left="6099" w:hanging="360"/>
      </w:pPr>
      <w:rPr>
        <w:rFonts w:ascii="Courier New" w:hAnsi="Courier New" w:cs="Courier New" w:hint="default"/>
      </w:rPr>
    </w:lvl>
    <w:lvl w:ilvl="8" w:tplc="04070005">
      <w:start w:val="1"/>
      <w:numFmt w:val="bullet"/>
      <w:lvlText w:val=""/>
      <w:lvlJc w:val="left"/>
      <w:pPr>
        <w:ind w:left="6819" w:hanging="360"/>
      </w:pPr>
      <w:rPr>
        <w:rFonts w:ascii="Wingdings" w:hAnsi="Wingdings" w:hint="default"/>
      </w:rPr>
    </w:lvl>
  </w:abstractNum>
  <w:abstractNum w:abstractNumId="9" w15:restartNumberingAfterBreak="0">
    <w:nsid w:val="63C7137F"/>
    <w:multiLevelType w:val="hybridMultilevel"/>
    <w:tmpl w:val="59AA5CAC"/>
    <w:lvl w:ilvl="0" w:tplc="875C6920">
      <w:start w:val="1"/>
      <w:numFmt w:val="decimal"/>
      <w:lvlText w:val="%1."/>
      <w:lvlJc w:val="left"/>
      <w:pPr>
        <w:ind w:left="1353" w:hanging="360"/>
      </w:pPr>
      <w:rPr>
        <w:rFonts w:hint="default"/>
        <w:caps w:val="0"/>
        <w:strike w:val="0"/>
        <w:dstrike w:val="0"/>
        <w:vanish w:val="0"/>
        <w:color w:val="auto"/>
        <w:vertAlign w:val="baseline"/>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0" w15:restartNumberingAfterBreak="0">
    <w:nsid w:val="69BB00B0"/>
    <w:multiLevelType w:val="multilevel"/>
    <w:tmpl w:val="F19A2C9A"/>
    <w:name w:val="_GI_RFP_Numbered List"/>
    <w:lvl w:ilvl="0">
      <w:start w:val="1"/>
      <w:numFmt w:val="decimal"/>
      <w:pStyle w:val="GIRFPNumberedList"/>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CE3B7D"/>
    <w:multiLevelType w:val="hybridMultilevel"/>
    <w:tmpl w:val="BCACA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2D5C8C"/>
    <w:multiLevelType w:val="hybridMultilevel"/>
    <w:tmpl w:val="8780A93E"/>
    <w:name w:val="_GI_Table Bullet 2"/>
    <w:lvl w:ilvl="0" w:tplc="2B7ED560">
      <w:start w:val="1"/>
      <w:numFmt w:val="bullet"/>
      <w:pStyle w:val="GITableBullet2"/>
      <w:lvlText w:val="−"/>
      <w:lvlJc w:val="left"/>
      <w:pPr>
        <w:ind w:left="900" w:hanging="360"/>
      </w:pPr>
      <w:rPr>
        <w:rFonts w:ascii="Futura Bk BT" w:hAnsi="Futura Bk BT" w:hint="default"/>
        <w:color w:val="006A4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437A6"/>
    <w:multiLevelType w:val="hybridMultilevel"/>
    <w:tmpl w:val="97369602"/>
    <w:name w:val="_GI_Bullet X.X"/>
    <w:lvl w:ilvl="0" w:tplc="729EABD2">
      <w:start w:val="1"/>
      <w:numFmt w:val="decimal"/>
      <w:pStyle w:val="GIBulletXX"/>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EA3419"/>
    <w:multiLevelType w:val="hybridMultilevel"/>
    <w:tmpl w:val="2DC08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A9317E"/>
    <w:multiLevelType w:val="hybridMultilevel"/>
    <w:tmpl w:val="5C1AB47C"/>
    <w:name w:val="_GI_Table Bullet 1"/>
    <w:lvl w:ilvl="0" w:tplc="A0E86C2C">
      <w:start w:val="1"/>
      <w:numFmt w:val="bullet"/>
      <w:pStyle w:val="GITableBullet1"/>
      <w:lvlText w:val="•"/>
      <w:lvlJc w:val="left"/>
      <w:pPr>
        <w:ind w:left="720" w:hanging="360"/>
      </w:pPr>
      <w:rPr>
        <w:rFonts w:ascii="Futura Bk BT" w:hAnsi="Futura Bk BT" w:hint="default"/>
        <w:color w:val="006A4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5"/>
  </w:num>
  <w:num w:numId="4">
    <w:abstractNumId w:val="12"/>
  </w:num>
  <w:num w:numId="5">
    <w:abstractNumId w:val="2"/>
  </w:num>
  <w:num w:numId="6">
    <w:abstractNumId w:val="10"/>
  </w:num>
  <w:num w:numId="7">
    <w:abstractNumId w:val="5"/>
  </w:num>
  <w:num w:numId="8">
    <w:abstractNumId w:val="3"/>
  </w:num>
  <w:num w:numId="9">
    <w:abstractNumId w:val="3"/>
    <w:lvlOverride w:ilvl="0">
      <w:startOverride w:val="1"/>
    </w:lvlOverride>
  </w:num>
  <w:num w:numId="10">
    <w:abstractNumId w:val="14"/>
  </w:num>
  <w:num w:numId="11">
    <w:abstractNumId w:val="3"/>
    <w:lvlOverride w:ilvl="0">
      <w:startOverride w:val="1"/>
    </w:lvlOverride>
  </w:num>
  <w:num w:numId="12">
    <w:abstractNumId w:val="3"/>
    <w:lvlOverride w:ilvl="0">
      <w:startOverride w:val="1"/>
    </w:lvlOverride>
  </w:num>
  <w:num w:numId="13">
    <w:abstractNumId w:val="13"/>
  </w:num>
  <w:num w:numId="14">
    <w:abstractNumId w:val="6"/>
  </w:num>
  <w:num w:numId="15">
    <w:abstractNumId w:val="11"/>
  </w:num>
  <w:num w:numId="16">
    <w:abstractNumId w:val="1"/>
  </w:num>
  <w:num w:numId="17">
    <w:abstractNumId w:val="9"/>
  </w:num>
  <w:num w:numId="18">
    <w:abstractNumId w:val="7"/>
  </w:num>
  <w:num w:numId="19">
    <w:abstractNumId w:val="0"/>
  </w:num>
  <w:num w:numId="20">
    <w:abstractNumId w:val="3"/>
  </w:num>
  <w:num w:numId="21">
    <w:abstractNumId w:val="13"/>
  </w:num>
  <w:num w:numId="22">
    <w:abstractNumId w:val="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0"/>
  </w:num>
  <w:num w:numId="26">
    <w:abstractNumId w:val="0"/>
  </w:num>
  <w:num w:numId="27">
    <w:abstractNumId w:val="3"/>
    <w:lvlOverride w:ilvl="0">
      <w:startOverride w:val="1"/>
    </w:lvlOverride>
  </w:num>
  <w:num w:numId="28">
    <w:abstractNumId w:val="8"/>
  </w:num>
  <w:num w:numId="29">
    <w:abstractNumId w:val="3"/>
  </w:num>
  <w:num w:numId="30">
    <w:abstractNumId w:val="3"/>
  </w:num>
  <w:num w:numId="31">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hideSpellingErrors/>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AC"/>
    <w:rsid w:val="0000003E"/>
    <w:rsid w:val="0000012B"/>
    <w:rsid w:val="00001BF9"/>
    <w:rsid w:val="00002867"/>
    <w:rsid w:val="00003640"/>
    <w:rsid w:val="0000492B"/>
    <w:rsid w:val="00004B7A"/>
    <w:rsid w:val="00005D94"/>
    <w:rsid w:val="000069C2"/>
    <w:rsid w:val="00010DE3"/>
    <w:rsid w:val="000115D8"/>
    <w:rsid w:val="00015E89"/>
    <w:rsid w:val="00015F5C"/>
    <w:rsid w:val="00020FFF"/>
    <w:rsid w:val="000268CE"/>
    <w:rsid w:val="00026938"/>
    <w:rsid w:val="00030704"/>
    <w:rsid w:val="00030A24"/>
    <w:rsid w:val="00031957"/>
    <w:rsid w:val="00032545"/>
    <w:rsid w:val="00033099"/>
    <w:rsid w:val="000364E6"/>
    <w:rsid w:val="00037E6E"/>
    <w:rsid w:val="00040BD2"/>
    <w:rsid w:val="00041EE1"/>
    <w:rsid w:val="00043238"/>
    <w:rsid w:val="0005009F"/>
    <w:rsid w:val="000510D7"/>
    <w:rsid w:val="0005181A"/>
    <w:rsid w:val="0005526D"/>
    <w:rsid w:val="00056513"/>
    <w:rsid w:val="000654AD"/>
    <w:rsid w:val="00065CB4"/>
    <w:rsid w:val="000662BD"/>
    <w:rsid w:val="000706D1"/>
    <w:rsid w:val="0007129C"/>
    <w:rsid w:val="00072FAD"/>
    <w:rsid w:val="00080F48"/>
    <w:rsid w:val="00082C83"/>
    <w:rsid w:val="00085D56"/>
    <w:rsid w:val="000872D0"/>
    <w:rsid w:val="00087C90"/>
    <w:rsid w:val="00091A94"/>
    <w:rsid w:val="00096346"/>
    <w:rsid w:val="000A128A"/>
    <w:rsid w:val="000A314E"/>
    <w:rsid w:val="000A466B"/>
    <w:rsid w:val="000A4D86"/>
    <w:rsid w:val="000A76E4"/>
    <w:rsid w:val="000B1D4A"/>
    <w:rsid w:val="000B3576"/>
    <w:rsid w:val="000B4879"/>
    <w:rsid w:val="000B5197"/>
    <w:rsid w:val="000B5DA1"/>
    <w:rsid w:val="000B7DF5"/>
    <w:rsid w:val="000C5D49"/>
    <w:rsid w:val="000C7DC9"/>
    <w:rsid w:val="000D0E63"/>
    <w:rsid w:val="000D3E2F"/>
    <w:rsid w:val="000D59A1"/>
    <w:rsid w:val="000E00CF"/>
    <w:rsid w:val="000E36E5"/>
    <w:rsid w:val="000E3DC2"/>
    <w:rsid w:val="000E3F28"/>
    <w:rsid w:val="000E7B59"/>
    <w:rsid w:val="000E7FFA"/>
    <w:rsid w:val="000F0868"/>
    <w:rsid w:val="000F1AB8"/>
    <w:rsid w:val="000F3D08"/>
    <w:rsid w:val="000F5B6B"/>
    <w:rsid w:val="000F5C28"/>
    <w:rsid w:val="000F6A6C"/>
    <w:rsid w:val="000F7EDB"/>
    <w:rsid w:val="001055AA"/>
    <w:rsid w:val="001064E2"/>
    <w:rsid w:val="00116912"/>
    <w:rsid w:val="001214FF"/>
    <w:rsid w:val="00123758"/>
    <w:rsid w:val="0012536E"/>
    <w:rsid w:val="00130743"/>
    <w:rsid w:val="001311BB"/>
    <w:rsid w:val="00132AB2"/>
    <w:rsid w:val="001341C5"/>
    <w:rsid w:val="001417C7"/>
    <w:rsid w:val="00141B9A"/>
    <w:rsid w:val="00143122"/>
    <w:rsid w:val="001439C7"/>
    <w:rsid w:val="00145310"/>
    <w:rsid w:val="001465E8"/>
    <w:rsid w:val="00147660"/>
    <w:rsid w:val="00147D35"/>
    <w:rsid w:val="00151A29"/>
    <w:rsid w:val="00152A0F"/>
    <w:rsid w:val="00153075"/>
    <w:rsid w:val="001645AF"/>
    <w:rsid w:val="00166212"/>
    <w:rsid w:val="00171CDE"/>
    <w:rsid w:val="00173356"/>
    <w:rsid w:val="00173F40"/>
    <w:rsid w:val="001807F4"/>
    <w:rsid w:val="00180B76"/>
    <w:rsid w:val="00181FED"/>
    <w:rsid w:val="00183309"/>
    <w:rsid w:val="00183379"/>
    <w:rsid w:val="00187F8C"/>
    <w:rsid w:val="00190B98"/>
    <w:rsid w:val="00191709"/>
    <w:rsid w:val="00191779"/>
    <w:rsid w:val="0019726B"/>
    <w:rsid w:val="001A1F17"/>
    <w:rsid w:val="001A424C"/>
    <w:rsid w:val="001A44DA"/>
    <w:rsid w:val="001A5908"/>
    <w:rsid w:val="001A7F09"/>
    <w:rsid w:val="001B19DA"/>
    <w:rsid w:val="001B31EB"/>
    <w:rsid w:val="001B52EB"/>
    <w:rsid w:val="001B75D6"/>
    <w:rsid w:val="001B7EDA"/>
    <w:rsid w:val="001C0EBA"/>
    <w:rsid w:val="001C2633"/>
    <w:rsid w:val="001C6171"/>
    <w:rsid w:val="001C6E75"/>
    <w:rsid w:val="001C72E5"/>
    <w:rsid w:val="001D1B53"/>
    <w:rsid w:val="001D7C51"/>
    <w:rsid w:val="001E0206"/>
    <w:rsid w:val="001E37A8"/>
    <w:rsid w:val="001E3BD0"/>
    <w:rsid w:val="001E5B15"/>
    <w:rsid w:val="001F107B"/>
    <w:rsid w:val="001F4282"/>
    <w:rsid w:val="001F7346"/>
    <w:rsid w:val="001F7681"/>
    <w:rsid w:val="002012B2"/>
    <w:rsid w:val="002022E6"/>
    <w:rsid w:val="0020233A"/>
    <w:rsid w:val="00203F17"/>
    <w:rsid w:val="002043F3"/>
    <w:rsid w:val="00210A83"/>
    <w:rsid w:val="00211C3F"/>
    <w:rsid w:val="00214EF0"/>
    <w:rsid w:val="00215BC9"/>
    <w:rsid w:val="00216AEE"/>
    <w:rsid w:val="00216B59"/>
    <w:rsid w:val="00224FD1"/>
    <w:rsid w:val="0022572F"/>
    <w:rsid w:val="002336DA"/>
    <w:rsid w:val="00233959"/>
    <w:rsid w:val="00233E09"/>
    <w:rsid w:val="00234079"/>
    <w:rsid w:val="0023610A"/>
    <w:rsid w:val="00236A03"/>
    <w:rsid w:val="00240916"/>
    <w:rsid w:val="00241198"/>
    <w:rsid w:val="002415D2"/>
    <w:rsid w:val="00243A75"/>
    <w:rsid w:val="00246498"/>
    <w:rsid w:val="0025249F"/>
    <w:rsid w:val="0025311E"/>
    <w:rsid w:val="0025348A"/>
    <w:rsid w:val="002561C0"/>
    <w:rsid w:val="0025686A"/>
    <w:rsid w:val="00261532"/>
    <w:rsid w:val="002620D0"/>
    <w:rsid w:val="0026233E"/>
    <w:rsid w:val="002630C3"/>
    <w:rsid w:val="00265E71"/>
    <w:rsid w:val="00266930"/>
    <w:rsid w:val="00271B3E"/>
    <w:rsid w:val="00272E64"/>
    <w:rsid w:val="00274EBF"/>
    <w:rsid w:val="00275ABA"/>
    <w:rsid w:val="00275BA1"/>
    <w:rsid w:val="00281045"/>
    <w:rsid w:val="0028184A"/>
    <w:rsid w:val="00282B18"/>
    <w:rsid w:val="0028380D"/>
    <w:rsid w:val="002866B3"/>
    <w:rsid w:val="002872C6"/>
    <w:rsid w:val="00291664"/>
    <w:rsid w:val="002932AE"/>
    <w:rsid w:val="002939B7"/>
    <w:rsid w:val="002948A3"/>
    <w:rsid w:val="00295ACA"/>
    <w:rsid w:val="00295D37"/>
    <w:rsid w:val="002A1DB6"/>
    <w:rsid w:val="002A2ED5"/>
    <w:rsid w:val="002A34FD"/>
    <w:rsid w:val="002A3905"/>
    <w:rsid w:val="002B5442"/>
    <w:rsid w:val="002B76EB"/>
    <w:rsid w:val="002C2A4C"/>
    <w:rsid w:val="002C393C"/>
    <w:rsid w:val="002D3640"/>
    <w:rsid w:val="002D536F"/>
    <w:rsid w:val="002D55D2"/>
    <w:rsid w:val="002D5AF5"/>
    <w:rsid w:val="002E27CC"/>
    <w:rsid w:val="002E375D"/>
    <w:rsid w:val="002E7DE7"/>
    <w:rsid w:val="002F076C"/>
    <w:rsid w:val="002F0F06"/>
    <w:rsid w:val="002F26D1"/>
    <w:rsid w:val="002F59DF"/>
    <w:rsid w:val="002F686B"/>
    <w:rsid w:val="002F7BCE"/>
    <w:rsid w:val="00303736"/>
    <w:rsid w:val="00310084"/>
    <w:rsid w:val="003103CD"/>
    <w:rsid w:val="00310D11"/>
    <w:rsid w:val="00313478"/>
    <w:rsid w:val="003166BF"/>
    <w:rsid w:val="00320133"/>
    <w:rsid w:val="00322A91"/>
    <w:rsid w:val="00330488"/>
    <w:rsid w:val="0033095A"/>
    <w:rsid w:val="0033603A"/>
    <w:rsid w:val="00336335"/>
    <w:rsid w:val="00336DD2"/>
    <w:rsid w:val="003405B6"/>
    <w:rsid w:val="003439CF"/>
    <w:rsid w:val="00347B29"/>
    <w:rsid w:val="00347E04"/>
    <w:rsid w:val="00350FBA"/>
    <w:rsid w:val="003550CC"/>
    <w:rsid w:val="003614D5"/>
    <w:rsid w:val="00361EEC"/>
    <w:rsid w:val="00365C26"/>
    <w:rsid w:val="00372E71"/>
    <w:rsid w:val="00374ADE"/>
    <w:rsid w:val="003755CD"/>
    <w:rsid w:val="00376FFA"/>
    <w:rsid w:val="00382D87"/>
    <w:rsid w:val="003919F0"/>
    <w:rsid w:val="00391A96"/>
    <w:rsid w:val="003A14B7"/>
    <w:rsid w:val="003A24EC"/>
    <w:rsid w:val="003A2A44"/>
    <w:rsid w:val="003A2E8C"/>
    <w:rsid w:val="003A44C5"/>
    <w:rsid w:val="003B34AE"/>
    <w:rsid w:val="003B3DF1"/>
    <w:rsid w:val="003B6F65"/>
    <w:rsid w:val="003D0CE0"/>
    <w:rsid w:val="003D5872"/>
    <w:rsid w:val="003D61BD"/>
    <w:rsid w:val="003E173C"/>
    <w:rsid w:val="003F1976"/>
    <w:rsid w:val="003F6293"/>
    <w:rsid w:val="004018F3"/>
    <w:rsid w:val="00403419"/>
    <w:rsid w:val="004066B5"/>
    <w:rsid w:val="00410A3D"/>
    <w:rsid w:val="0041383B"/>
    <w:rsid w:val="00414867"/>
    <w:rsid w:val="00415CAD"/>
    <w:rsid w:val="00425CB9"/>
    <w:rsid w:val="00426D5A"/>
    <w:rsid w:val="00430934"/>
    <w:rsid w:val="00434022"/>
    <w:rsid w:val="00434CF6"/>
    <w:rsid w:val="00435E90"/>
    <w:rsid w:val="00437471"/>
    <w:rsid w:val="0043789E"/>
    <w:rsid w:val="004426F6"/>
    <w:rsid w:val="004440C5"/>
    <w:rsid w:val="004459D9"/>
    <w:rsid w:val="00447B09"/>
    <w:rsid w:val="00450E69"/>
    <w:rsid w:val="004528FB"/>
    <w:rsid w:val="00454783"/>
    <w:rsid w:val="00454B6D"/>
    <w:rsid w:val="00457B53"/>
    <w:rsid w:val="00457FA1"/>
    <w:rsid w:val="00460B6C"/>
    <w:rsid w:val="00462F9D"/>
    <w:rsid w:val="00463328"/>
    <w:rsid w:val="004657BC"/>
    <w:rsid w:val="004662C7"/>
    <w:rsid w:val="00470C26"/>
    <w:rsid w:val="00470C53"/>
    <w:rsid w:val="004713F3"/>
    <w:rsid w:val="00472871"/>
    <w:rsid w:val="004769B4"/>
    <w:rsid w:val="0047796B"/>
    <w:rsid w:val="004810B3"/>
    <w:rsid w:val="00482837"/>
    <w:rsid w:val="00482DBD"/>
    <w:rsid w:val="00485E51"/>
    <w:rsid w:val="00487085"/>
    <w:rsid w:val="004872C2"/>
    <w:rsid w:val="00490EFC"/>
    <w:rsid w:val="00492FC5"/>
    <w:rsid w:val="00494994"/>
    <w:rsid w:val="00494DFF"/>
    <w:rsid w:val="004A52EF"/>
    <w:rsid w:val="004B2418"/>
    <w:rsid w:val="004B7DA5"/>
    <w:rsid w:val="004C2D39"/>
    <w:rsid w:val="004C6398"/>
    <w:rsid w:val="004D4580"/>
    <w:rsid w:val="004D5008"/>
    <w:rsid w:val="004D70FA"/>
    <w:rsid w:val="004E1659"/>
    <w:rsid w:val="004E30FA"/>
    <w:rsid w:val="004E4DAD"/>
    <w:rsid w:val="004E5628"/>
    <w:rsid w:val="004E743C"/>
    <w:rsid w:val="004F5E6B"/>
    <w:rsid w:val="00501E72"/>
    <w:rsid w:val="005046BA"/>
    <w:rsid w:val="005063AC"/>
    <w:rsid w:val="0050682B"/>
    <w:rsid w:val="00507ABD"/>
    <w:rsid w:val="00511050"/>
    <w:rsid w:val="00514F8B"/>
    <w:rsid w:val="00520265"/>
    <w:rsid w:val="0052458E"/>
    <w:rsid w:val="00525464"/>
    <w:rsid w:val="00531E09"/>
    <w:rsid w:val="005328FA"/>
    <w:rsid w:val="00544E55"/>
    <w:rsid w:val="005476F3"/>
    <w:rsid w:val="0055024A"/>
    <w:rsid w:val="005508E7"/>
    <w:rsid w:val="0055479F"/>
    <w:rsid w:val="00560768"/>
    <w:rsid w:val="005653E7"/>
    <w:rsid w:val="005678A0"/>
    <w:rsid w:val="00567D1C"/>
    <w:rsid w:val="005719E5"/>
    <w:rsid w:val="00571DF9"/>
    <w:rsid w:val="00572103"/>
    <w:rsid w:val="0057276A"/>
    <w:rsid w:val="00574E63"/>
    <w:rsid w:val="005814BC"/>
    <w:rsid w:val="00581679"/>
    <w:rsid w:val="00581C57"/>
    <w:rsid w:val="00584B53"/>
    <w:rsid w:val="00584C54"/>
    <w:rsid w:val="00586073"/>
    <w:rsid w:val="00586503"/>
    <w:rsid w:val="005878A5"/>
    <w:rsid w:val="0059286A"/>
    <w:rsid w:val="00592C3B"/>
    <w:rsid w:val="005932FB"/>
    <w:rsid w:val="00594853"/>
    <w:rsid w:val="005976AD"/>
    <w:rsid w:val="005A0A3D"/>
    <w:rsid w:val="005A0EE7"/>
    <w:rsid w:val="005A120C"/>
    <w:rsid w:val="005A1334"/>
    <w:rsid w:val="005A1EB2"/>
    <w:rsid w:val="005A2E55"/>
    <w:rsid w:val="005A3C41"/>
    <w:rsid w:val="005A4B52"/>
    <w:rsid w:val="005A4FBB"/>
    <w:rsid w:val="005A5901"/>
    <w:rsid w:val="005A76E8"/>
    <w:rsid w:val="005A7F02"/>
    <w:rsid w:val="005B0D3C"/>
    <w:rsid w:val="005C0034"/>
    <w:rsid w:val="005C2F52"/>
    <w:rsid w:val="005C3B21"/>
    <w:rsid w:val="005C3BB1"/>
    <w:rsid w:val="005D1FFA"/>
    <w:rsid w:val="005D3B0F"/>
    <w:rsid w:val="005D58D5"/>
    <w:rsid w:val="005E02A5"/>
    <w:rsid w:val="005E2B2A"/>
    <w:rsid w:val="005E6D19"/>
    <w:rsid w:val="005F096F"/>
    <w:rsid w:val="005F275F"/>
    <w:rsid w:val="005F2D03"/>
    <w:rsid w:val="005F36C0"/>
    <w:rsid w:val="005F5191"/>
    <w:rsid w:val="005F5B8E"/>
    <w:rsid w:val="005F5E90"/>
    <w:rsid w:val="005F680F"/>
    <w:rsid w:val="006004F7"/>
    <w:rsid w:val="006037E8"/>
    <w:rsid w:val="00603CE3"/>
    <w:rsid w:val="0060466F"/>
    <w:rsid w:val="0061007B"/>
    <w:rsid w:val="00611CBA"/>
    <w:rsid w:val="00612A16"/>
    <w:rsid w:val="006160A4"/>
    <w:rsid w:val="00616CDE"/>
    <w:rsid w:val="00616DFE"/>
    <w:rsid w:val="0061736E"/>
    <w:rsid w:val="00620079"/>
    <w:rsid w:val="00623B24"/>
    <w:rsid w:val="0063173F"/>
    <w:rsid w:val="00631EB7"/>
    <w:rsid w:val="006363EF"/>
    <w:rsid w:val="00637AD5"/>
    <w:rsid w:val="00637F9C"/>
    <w:rsid w:val="006433D1"/>
    <w:rsid w:val="0065104E"/>
    <w:rsid w:val="0065115D"/>
    <w:rsid w:val="006511EB"/>
    <w:rsid w:val="00653D6E"/>
    <w:rsid w:val="006576A2"/>
    <w:rsid w:val="0066086C"/>
    <w:rsid w:val="00662E71"/>
    <w:rsid w:val="00666872"/>
    <w:rsid w:val="0066768E"/>
    <w:rsid w:val="00667876"/>
    <w:rsid w:val="006705F1"/>
    <w:rsid w:val="00670772"/>
    <w:rsid w:val="0067214D"/>
    <w:rsid w:val="00672DE9"/>
    <w:rsid w:val="00677083"/>
    <w:rsid w:val="006804EB"/>
    <w:rsid w:val="0068241B"/>
    <w:rsid w:val="0068411F"/>
    <w:rsid w:val="00684651"/>
    <w:rsid w:val="00692376"/>
    <w:rsid w:val="006934B0"/>
    <w:rsid w:val="006959E5"/>
    <w:rsid w:val="006965B3"/>
    <w:rsid w:val="00696729"/>
    <w:rsid w:val="006A29D4"/>
    <w:rsid w:val="006A4B23"/>
    <w:rsid w:val="006A4BA2"/>
    <w:rsid w:val="006A7A07"/>
    <w:rsid w:val="006B5DB2"/>
    <w:rsid w:val="006C17F3"/>
    <w:rsid w:val="006C2DB2"/>
    <w:rsid w:val="006C3029"/>
    <w:rsid w:val="006C39E5"/>
    <w:rsid w:val="006C6AB2"/>
    <w:rsid w:val="006D02D6"/>
    <w:rsid w:val="006D133D"/>
    <w:rsid w:val="006D3FB3"/>
    <w:rsid w:val="006D71BB"/>
    <w:rsid w:val="006E0E76"/>
    <w:rsid w:val="006E1956"/>
    <w:rsid w:val="006E2BC6"/>
    <w:rsid w:val="006E66C6"/>
    <w:rsid w:val="006F3B7E"/>
    <w:rsid w:val="006F4737"/>
    <w:rsid w:val="006F4813"/>
    <w:rsid w:val="006F79C8"/>
    <w:rsid w:val="007100B2"/>
    <w:rsid w:val="0071166C"/>
    <w:rsid w:val="007155ED"/>
    <w:rsid w:val="00716B42"/>
    <w:rsid w:val="007171B7"/>
    <w:rsid w:val="007178B6"/>
    <w:rsid w:val="007210D2"/>
    <w:rsid w:val="0072245C"/>
    <w:rsid w:val="00725031"/>
    <w:rsid w:val="00725F78"/>
    <w:rsid w:val="007301F8"/>
    <w:rsid w:val="00730316"/>
    <w:rsid w:val="007309DB"/>
    <w:rsid w:val="00736E00"/>
    <w:rsid w:val="00737CCD"/>
    <w:rsid w:val="00742A9B"/>
    <w:rsid w:val="00745766"/>
    <w:rsid w:val="007457C5"/>
    <w:rsid w:val="0074738E"/>
    <w:rsid w:val="00751B57"/>
    <w:rsid w:val="00752542"/>
    <w:rsid w:val="00753854"/>
    <w:rsid w:val="00754F96"/>
    <w:rsid w:val="007552B6"/>
    <w:rsid w:val="00755FD3"/>
    <w:rsid w:val="00757F1F"/>
    <w:rsid w:val="007600CA"/>
    <w:rsid w:val="00763CF7"/>
    <w:rsid w:val="00764B6D"/>
    <w:rsid w:val="007659D9"/>
    <w:rsid w:val="00765F33"/>
    <w:rsid w:val="007678BE"/>
    <w:rsid w:val="00767AC2"/>
    <w:rsid w:val="00773C62"/>
    <w:rsid w:val="00774404"/>
    <w:rsid w:val="00774DF8"/>
    <w:rsid w:val="0077623F"/>
    <w:rsid w:val="00781738"/>
    <w:rsid w:val="00782E74"/>
    <w:rsid w:val="00782EAC"/>
    <w:rsid w:val="0078335E"/>
    <w:rsid w:val="007837CC"/>
    <w:rsid w:val="0078390E"/>
    <w:rsid w:val="007849F0"/>
    <w:rsid w:val="007851ED"/>
    <w:rsid w:val="007873B7"/>
    <w:rsid w:val="007911CA"/>
    <w:rsid w:val="00791DE9"/>
    <w:rsid w:val="0079262F"/>
    <w:rsid w:val="00793B2A"/>
    <w:rsid w:val="00794A10"/>
    <w:rsid w:val="007969A0"/>
    <w:rsid w:val="00796F75"/>
    <w:rsid w:val="007A2850"/>
    <w:rsid w:val="007A5E79"/>
    <w:rsid w:val="007A7958"/>
    <w:rsid w:val="007B406E"/>
    <w:rsid w:val="007B57A5"/>
    <w:rsid w:val="007B72D5"/>
    <w:rsid w:val="007C3F7A"/>
    <w:rsid w:val="007C4B44"/>
    <w:rsid w:val="007D2593"/>
    <w:rsid w:val="007D2798"/>
    <w:rsid w:val="007D2AA4"/>
    <w:rsid w:val="007D36BA"/>
    <w:rsid w:val="007D41A7"/>
    <w:rsid w:val="007D6867"/>
    <w:rsid w:val="007E22E0"/>
    <w:rsid w:val="007E5767"/>
    <w:rsid w:val="007F2AAA"/>
    <w:rsid w:val="007F3219"/>
    <w:rsid w:val="007F3BC7"/>
    <w:rsid w:val="007F5944"/>
    <w:rsid w:val="007F61EC"/>
    <w:rsid w:val="00800213"/>
    <w:rsid w:val="00803337"/>
    <w:rsid w:val="00806375"/>
    <w:rsid w:val="008071C0"/>
    <w:rsid w:val="008078D3"/>
    <w:rsid w:val="0081112A"/>
    <w:rsid w:val="00811BEC"/>
    <w:rsid w:val="00812C4D"/>
    <w:rsid w:val="00816B0F"/>
    <w:rsid w:val="008217E1"/>
    <w:rsid w:val="008252AA"/>
    <w:rsid w:val="00827B21"/>
    <w:rsid w:val="008330C7"/>
    <w:rsid w:val="008336C1"/>
    <w:rsid w:val="00835A4F"/>
    <w:rsid w:val="00837C80"/>
    <w:rsid w:val="00842FCE"/>
    <w:rsid w:val="008439C1"/>
    <w:rsid w:val="0084488B"/>
    <w:rsid w:val="0084559F"/>
    <w:rsid w:val="008471E8"/>
    <w:rsid w:val="00854632"/>
    <w:rsid w:val="008551B7"/>
    <w:rsid w:val="00857C1D"/>
    <w:rsid w:val="00860C5B"/>
    <w:rsid w:val="008613CD"/>
    <w:rsid w:val="0086229F"/>
    <w:rsid w:val="008626B6"/>
    <w:rsid w:val="0086337A"/>
    <w:rsid w:val="008639FB"/>
    <w:rsid w:val="00865758"/>
    <w:rsid w:val="00867B9B"/>
    <w:rsid w:val="008710EF"/>
    <w:rsid w:val="00871D6F"/>
    <w:rsid w:val="0087277E"/>
    <w:rsid w:val="00873A1F"/>
    <w:rsid w:val="00875C8C"/>
    <w:rsid w:val="008811CA"/>
    <w:rsid w:val="00883DA6"/>
    <w:rsid w:val="00886285"/>
    <w:rsid w:val="008866A3"/>
    <w:rsid w:val="008916AE"/>
    <w:rsid w:val="00891B65"/>
    <w:rsid w:val="00893779"/>
    <w:rsid w:val="00895002"/>
    <w:rsid w:val="0089662A"/>
    <w:rsid w:val="008A1776"/>
    <w:rsid w:val="008A32E2"/>
    <w:rsid w:val="008A3E72"/>
    <w:rsid w:val="008A7AAB"/>
    <w:rsid w:val="008B2B63"/>
    <w:rsid w:val="008B7819"/>
    <w:rsid w:val="008C0CA5"/>
    <w:rsid w:val="008C4FAA"/>
    <w:rsid w:val="008D061C"/>
    <w:rsid w:val="008D12CB"/>
    <w:rsid w:val="008D47DB"/>
    <w:rsid w:val="008D4DD9"/>
    <w:rsid w:val="008D4F91"/>
    <w:rsid w:val="008D588A"/>
    <w:rsid w:val="008D616C"/>
    <w:rsid w:val="008D6297"/>
    <w:rsid w:val="008D6A36"/>
    <w:rsid w:val="008E1719"/>
    <w:rsid w:val="008E3730"/>
    <w:rsid w:val="008F37C1"/>
    <w:rsid w:val="008F6BBC"/>
    <w:rsid w:val="00903094"/>
    <w:rsid w:val="00905807"/>
    <w:rsid w:val="009064C3"/>
    <w:rsid w:val="009127C1"/>
    <w:rsid w:val="009133E3"/>
    <w:rsid w:val="009142D4"/>
    <w:rsid w:val="00920376"/>
    <w:rsid w:val="009209BD"/>
    <w:rsid w:val="00921019"/>
    <w:rsid w:val="0092223C"/>
    <w:rsid w:val="009242E1"/>
    <w:rsid w:val="00924D92"/>
    <w:rsid w:val="00926543"/>
    <w:rsid w:val="00926FCE"/>
    <w:rsid w:val="00930B99"/>
    <w:rsid w:val="00937E8F"/>
    <w:rsid w:val="00950876"/>
    <w:rsid w:val="00951ED3"/>
    <w:rsid w:val="00955C25"/>
    <w:rsid w:val="00956747"/>
    <w:rsid w:val="009570D0"/>
    <w:rsid w:val="0096222E"/>
    <w:rsid w:val="009663DA"/>
    <w:rsid w:val="00970761"/>
    <w:rsid w:val="009707FF"/>
    <w:rsid w:val="00974104"/>
    <w:rsid w:val="009756E6"/>
    <w:rsid w:val="00976997"/>
    <w:rsid w:val="00976B62"/>
    <w:rsid w:val="00976EA7"/>
    <w:rsid w:val="00983F86"/>
    <w:rsid w:val="00985D87"/>
    <w:rsid w:val="00987193"/>
    <w:rsid w:val="00991556"/>
    <w:rsid w:val="00992899"/>
    <w:rsid w:val="00993EF2"/>
    <w:rsid w:val="0099584A"/>
    <w:rsid w:val="00997D1C"/>
    <w:rsid w:val="009A33AF"/>
    <w:rsid w:val="009A55BC"/>
    <w:rsid w:val="009A5FC1"/>
    <w:rsid w:val="009B26E6"/>
    <w:rsid w:val="009B4277"/>
    <w:rsid w:val="009B60F3"/>
    <w:rsid w:val="009C1E09"/>
    <w:rsid w:val="009C5424"/>
    <w:rsid w:val="009C570A"/>
    <w:rsid w:val="009C5EA8"/>
    <w:rsid w:val="009D20F4"/>
    <w:rsid w:val="009E2140"/>
    <w:rsid w:val="009E2DEA"/>
    <w:rsid w:val="009E3673"/>
    <w:rsid w:val="009F1BCA"/>
    <w:rsid w:val="009F3E5A"/>
    <w:rsid w:val="00A01B29"/>
    <w:rsid w:val="00A02979"/>
    <w:rsid w:val="00A05F47"/>
    <w:rsid w:val="00A06DA1"/>
    <w:rsid w:val="00A07E69"/>
    <w:rsid w:val="00A10D73"/>
    <w:rsid w:val="00A123D8"/>
    <w:rsid w:val="00A159C9"/>
    <w:rsid w:val="00A22164"/>
    <w:rsid w:val="00A31C36"/>
    <w:rsid w:val="00A368D0"/>
    <w:rsid w:val="00A4039E"/>
    <w:rsid w:val="00A417DC"/>
    <w:rsid w:val="00A42A91"/>
    <w:rsid w:val="00A44BBB"/>
    <w:rsid w:val="00A46F22"/>
    <w:rsid w:val="00A50BE9"/>
    <w:rsid w:val="00A511F8"/>
    <w:rsid w:val="00A52D5C"/>
    <w:rsid w:val="00A53895"/>
    <w:rsid w:val="00A53D97"/>
    <w:rsid w:val="00A55383"/>
    <w:rsid w:val="00A57B94"/>
    <w:rsid w:val="00A57F52"/>
    <w:rsid w:val="00A6020E"/>
    <w:rsid w:val="00A608E3"/>
    <w:rsid w:val="00A60971"/>
    <w:rsid w:val="00A6126B"/>
    <w:rsid w:val="00A61917"/>
    <w:rsid w:val="00A620B7"/>
    <w:rsid w:val="00A63471"/>
    <w:rsid w:val="00A719E8"/>
    <w:rsid w:val="00A83D5D"/>
    <w:rsid w:val="00A8580A"/>
    <w:rsid w:val="00A85F07"/>
    <w:rsid w:val="00A86F1E"/>
    <w:rsid w:val="00A9386F"/>
    <w:rsid w:val="00A93F0A"/>
    <w:rsid w:val="00AA17D6"/>
    <w:rsid w:val="00AA29CF"/>
    <w:rsid w:val="00AA399D"/>
    <w:rsid w:val="00AA7D17"/>
    <w:rsid w:val="00AB04E6"/>
    <w:rsid w:val="00AB15F7"/>
    <w:rsid w:val="00AB4FC2"/>
    <w:rsid w:val="00AB776F"/>
    <w:rsid w:val="00AC03AB"/>
    <w:rsid w:val="00AD03E1"/>
    <w:rsid w:val="00AD34A3"/>
    <w:rsid w:val="00AD34D7"/>
    <w:rsid w:val="00AD4F55"/>
    <w:rsid w:val="00AD5352"/>
    <w:rsid w:val="00AD72B2"/>
    <w:rsid w:val="00AE37A1"/>
    <w:rsid w:val="00AE3C5E"/>
    <w:rsid w:val="00AE5F21"/>
    <w:rsid w:val="00AE708B"/>
    <w:rsid w:val="00AE75E3"/>
    <w:rsid w:val="00AF2902"/>
    <w:rsid w:val="00AF2F37"/>
    <w:rsid w:val="00AF49C5"/>
    <w:rsid w:val="00AF6BD7"/>
    <w:rsid w:val="00AF6DD5"/>
    <w:rsid w:val="00B0448A"/>
    <w:rsid w:val="00B04BBF"/>
    <w:rsid w:val="00B05F5F"/>
    <w:rsid w:val="00B05F98"/>
    <w:rsid w:val="00B072BB"/>
    <w:rsid w:val="00B128A8"/>
    <w:rsid w:val="00B178F9"/>
    <w:rsid w:val="00B22CAA"/>
    <w:rsid w:val="00B27768"/>
    <w:rsid w:val="00B33A11"/>
    <w:rsid w:val="00B3429D"/>
    <w:rsid w:val="00B35283"/>
    <w:rsid w:val="00B37899"/>
    <w:rsid w:val="00B379E4"/>
    <w:rsid w:val="00B37F90"/>
    <w:rsid w:val="00B41CA8"/>
    <w:rsid w:val="00B44828"/>
    <w:rsid w:val="00B4704D"/>
    <w:rsid w:val="00B51F8C"/>
    <w:rsid w:val="00B529A9"/>
    <w:rsid w:val="00B65F78"/>
    <w:rsid w:val="00B71668"/>
    <w:rsid w:val="00B75C5F"/>
    <w:rsid w:val="00B76AC5"/>
    <w:rsid w:val="00B805D9"/>
    <w:rsid w:val="00B80A59"/>
    <w:rsid w:val="00B81EF6"/>
    <w:rsid w:val="00B82130"/>
    <w:rsid w:val="00B9130E"/>
    <w:rsid w:val="00B923CE"/>
    <w:rsid w:val="00BA0A92"/>
    <w:rsid w:val="00BA1072"/>
    <w:rsid w:val="00BA122D"/>
    <w:rsid w:val="00BA5AFA"/>
    <w:rsid w:val="00BA5BBC"/>
    <w:rsid w:val="00BB5CC9"/>
    <w:rsid w:val="00BB6EF3"/>
    <w:rsid w:val="00BB7181"/>
    <w:rsid w:val="00BD085A"/>
    <w:rsid w:val="00BD15ED"/>
    <w:rsid w:val="00BD2647"/>
    <w:rsid w:val="00BD38E8"/>
    <w:rsid w:val="00BD4FBC"/>
    <w:rsid w:val="00BD6411"/>
    <w:rsid w:val="00BE0B9F"/>
    <w:rsid w:val="00BE470A"/>
    <w:rsid w:val="00BE5AE6"/>
    <w:rsid w:val="00BF18E8"/>
    <w:rsid w:val="00BF1DAA"/>
    <w:rsid w:val="00BF3BC1"/>
    <w:rsid w:val="00BF4A25"/>
    <w:rsid w:val="00BF6B77"/>
    <w:rsid w:val="00C01A5D"/>
    <w:rsid w:val="00C0261C"/>
    <w:rsid w:val="00C042C4"/>
    <w:rsid w:val="00C0508E"/>
    <w:rsid w:val="00C07597"/>
    <w:rsid w:val="00C07CC9"/>
    <w:rsid w:val="00C1007E"/>
    <w:rsid w:val="00C139C5"/>
    <w:rsid w:val="00C15B56"/>
    <w:rsid w:val="00C165A2"/>
    <w:rsid w:val="00C17C32"/>
    <w:rsid w:val="00C20EC7"/>
    <w:rsid w:val="00C23B27"/>
    <w:rsid w:val="00C3185A"/>
    <w:rsid w:val="00C31F57"/>
    <w:rsid w:val="00C33CFA"/>
    <w:rsid w:val="00C34EB2"/>
    <w:rsid w:val="00C374A3"/>
    <w:rsid w:val="00C41576"/>
    <w:rsid w:val="00C42CB4"/>
    <w:rsid w:val="00C42F53"/>
    <w:rsid w:val="00C4554D"/>
    <w:rsid w:val="00C4759F"/>
    <w:rsid w:val="00C53BC7"/>
    <w:rsid w:val="00C54AFC"/>
    <w:rsid w:val="00C601A2"/>
    <w:rsid w:val="00C61B54"/>
    <w:rsid w:val="00C64E5E"/>
    <w:rsid w:val="00C66C40"/>
    <w:rsid w:val="00C67F2D"/>
    <w:rsid w:val="00C74DC5"/>
    <w:rsid w:val="00C774A9"/>
    <w:rsid w:val="00C81E5A"/>
    <w:rsid w:val="00C9158B"/>
    <w:rsid w:val="00CA1AD4"/>
    <w:rsid w:val="00CA42AA"/>
    <w:rsid w:val="00CA49A6"/>
    <w:rsid w:val="00CA5057"/>
    <w:rsid w:val="00CA540D"/>
    <w:rsid w:val="00CB0091"/>
    <w:rsid w:val="00CB61A3"/>
    <w:rsid w:val="00CB63B6"/>
    <w:rsid w:val="00CB7508"/>
    <w:rsid w:val="00CC1EBF"/>
    <w:rsid w:val="00CC228A"/>
    <w:rsid w:val="00CC43ED"/>
    <w:rsid w:val="00CC7A3F"/>
    <w:rsid w:val="00CD033E"/>
    <w:rsid w:val="00CD6784"/>
    <w:rsid w:val="00CE1480"/>
    <w:rsid w:val="00CE16F9"/>
    <w:rsid w:val="00CE4818"/>
    <w:rsid w:val="00CE7F70"/>
    <w:rsid w:val="00CF3E1E"/>
    <w:rsid w:val="00CF5AEF"/>
    <w:rsid w:val="00D02EAF"/>
    <w:rsid w:val="00D0409A"/>
    <w:rsid w:val="00D04670"/>
    <w:rsid w:val="00D04EE8"/>
    <w:rsid w:val="00D051DF"/>
    <w:rsid w:val="00D06181"/>
    <w:rsid w:val="00D06BAC"/>
    <w:rsid w:val="00D07137"/>
    <w:rsid w:val="00D07C57"/>
    <w:rsid w:val="00D117D3"/>
    <w:rsid w:val="00D16441"/>
    <w:rsid w:val="00D164C4"/>
    <w:rsid w:val="00D16D6A"/>
    <w:rsid w:val="00D17A70"/>
    <w:rsid w:val="00D21998"/>
    <w:rsid w:val="00D2531C"/>
    <w:rsid w:val="00D2532E"/>
    <w:rsid w:val="00D25DBD"/>
    <w:rsid w:val="00D25DEF"/>
    <w:rsid w:val="00D366B5"/>
    <w:rsid w:val="00D40247"/>
    <w:rsid w:val="00D404A4"/>
    <w:rsid w:val="00D44352"/>
    <w:rsid w:val="00D46EE0"/>
    <w:rsid w:val="00D508EA"/>
    <w:rsid w:val="00D510B9"/>
    <w:rsid w:val="00D52C56"/>
    <w:rsid w:val="00D5328A"/>
    <w:rsid w:val="00D5333C"/>
    <w:rsid w:val="00D5727D"/>
    <w:rsid w:val="00D64318"/>
    <w:rsid w:val="00D654F7"/>
    <w:rsid w:val="00D6588D"/>
    <w:rsid w:val="00D6688D"/>
    <w:rsid w:val="00D73148"/>
    <w:rsid w:val="00D7654B"/>
    <w:rsid w:val="00D77E73"/>
    <w:rsid w:val="00D80997"/>
    <w:rsid w:val="00D80E75"/>
    <w:rsid w:val="00D831E1"/>
    <w:rsid w:val="00D831E6"/>
    <w:rsid w:val="00D83475"/>
    <w:rsid w:val="00D86C7A"/>
    <w:rsid w:val="00D8718A"/>
    <w:rsid w:val="00D930F1"/>
    <w:rsid w:val="00D947D3"/>
    <w:rsid w:val="00DA402E"/>
    <w:rsid w:val="00DB0381"/>
    <w:rsid w:val="00DB1181"/>
    <w:rsid w:val="00DC3066"/>
    <w:rsid w:val="00DD55C5"/>
    <w:rsid w:val="00DD6AC5"/>
    <w:rsid w:val="00DE0348"/>
    <w:rsid w:val="00DE30DA"/>
    <w:rsid w:val="00DE4CC4"/>
    <w:rsid w:val="00DF17EF"/>
    <w:rsid w:val="00DF1BD1"/>
    <w:rsid w:val="00DF2D73"/>
    <w:rsid w:val="00DF308C"/>
    <w:rsid w:val="00DF4A96"/>
    <w:rsid w:val="00DF616A"/>
    <w:rsid w:val="00DF7EEA"/>
    <w:rsid w:val="00E02215"/>
    <w:rsid w:val="00E03780"/>
    <w:rsid w:val="00E05286"/>
    <w:rsid w:val="00E06A86"/>
    <w:rsid w:val="00E16262"/>
    <w:rsid w:val="00E20E29"/>
    <w:rsid w:val="00E238DE"/>
    <w:rsid w:val="00E26E97"/>
    <w:rsid w:val="00E3228A"/>
    <w:rsid w:val="00E368F4"/>
    <w:rsid w:val="00E37E3B"/>
    <w:rsid w:val="00E40AED"/>
    <w:rsid w:val="00E45C0B"/>
    <w:rsid w:val="00E50F8B"/>
    <w:rsid w:val="00E60F13"/>
    <w:rsid w:val="00E65A67"/>
    <w:rsid w:val="00E65C06"/>
    <w:rsid w:val="00E6781B"/>
    <w:rsid w:val="00E7171B"/>
    <w:rsid w:val="00E73A10"/>
    <w:rsid w:val="00E817CC"/>
    <w:rsid w:val="00E82A38"/>
    <w:rsid w:val="00E82E6E"/>
    <w:rsid w:val="00E92D76"/>
    <w:rsid w:val="00EA207D"/>
    <w:rsid w:val="00EA30A2"/>
    <w:rsid w:val="00EA649F"/>
    <w:rsid w:val="00EB25DB"/>
    <w:rsid w:val="00EB29B2"/>
    <w:rsid w:val="00EB766F"/>
    <w:rsid w:val="00EB76DF"/>
    <w:rsid w:val="00EC110F"/>
    <w:rsid w:val="00EC266E"/>
    <w:rsid w:val="00EC64F6"/>
    <w:rsid w:val="00EC6E87"/>
    <w:rsid w:val="00ED1507"/>
    <w:rsid w:val="00ED2FCB"/>
    <w:rsid w:val="00ED4BAC"/>
    <w:rsid w:val="00ED5C4C"/>
    <w:rsid w:val="00ED7CB2"/>
    <w:rsid w:val="00EE0187"/>
    <w:rsid w:val="00EE2100"/>
    <w:rsid w:val="00EE2F10"/>
    <w:rsid w:val="00EE336B"/>
    <w:rsid w:val="00EE443E"/>
    <w:rsid w:val="00EE7CE0"/>
    <w:rsid w:val="00EF1341"/>
    <w:rsid w:val="00EF3D01"/>
    <w:rsid w:val="00EF451D"/>
    <w:rsid w:val="00EF499E"/>
    <w:rsid w:val="00EF57F0"/>
    <w:rsid w:val="00EF7964"/>
    <w:rsid w:val="00F00668"/>
    <w:rsid w:val="00F0123A"/>
    <w:rsid w:val="00F02EB0"/>
    <w:rsid w:val="00F04D12"/>
    <w:rsid w:val="00F05408"/>
    <w:rsid w:val="00F05CA9"/>
    <w:rsid w:val="00F07228"/>
    <w:rsid w:val="00F1396D"/>
    <w:rsid w:val="00F14AD1"/>
    <w:rsid w:val="00F17ED8"/>
    <w:rsid w:val="00F21B6B"/>
    <w:rsid w:val="00F22B02"/>
    <w:rsid w:val="00F24C7C"/>
    <w:rsid w:val="00F24CF4"/>
    <w:rsid w:val="00F27887"/>
    <w:rsid w:val="00F30560"/>
    <w:rsid w:val="00F337BA"/>
    <w:rsid w:val="00F33CB1"/>
    <w:rsid w:val="00F36870"/>
    <w:rsid w:val="00F4204C"/>
    <w:rsid w:val="00F4257E"/>
    <w:rsid w:val="00F429C1"/>
    <w:rsid w:val="00F47E17"/>
    <w:rsid w:val="00F5079F"/>
    <w:rsid w:val="00F509C2"/>
    <w:rsid w:val="00F51108"/>
    <w:rsid w:val="00F522D6"/>
    <w:rsid w:val="00F528D4"/>
    <w:rsid w:val="00F52EEF"/>
    <w:rsid w:val="00F532DC"/>
    <w:rsid w:val="00F5573E"/>
    <w:rsid w:val="00F569E0"/>
    <w:rsid w:val="00F61588"/>
    <w:rsid w:val="00F6267A"/>
    <w:rsid w:val="00F62AD5"/>
    <w:rsid w:val="00F63B9A"/>
    <w:rsid w:val="00F63F7B"/>
    <w:rsid w:val="00F66C0D"/>
    <w:rsid w:val="00F67102"/>
    <w:rsid w:val="00F71403"/>
    <w:rsid w:val="00F73E66"/>
    <w:rsid w:val="00F7663E"/>
    <w:rsid w:val="00F80CAD"/>
    <w:rsid w:val="00F81CBE"/>
    <w:rsid w:val="00F84019"/>
    <w:rsid w:val="00F84BFD"/>
    <w:rsid w:val="00F87DF1"/>
    <w:rsid w:val="00F90B19"/>
    <w:rsid w:val="00F90BF5"/>
    <w:rsid w:val="00F93FE3"/>
    <w:rsid w:val="00F96AFD"/>
    <w:rsid w:val="00F972BB"/>
    <w:rsid w:val="00FA0080"/>
    <w:rsid w:val="00FA6AF9"/>
    <w:rsid w:val="00FA7D07"/>
    <w:rsid w:val="00FB1341"/>
    <w:rsid w:val="00FB47E3"/>
    <w:rsid w:val="00FB58A4"/>
    <w:rsid w:val="00FB7A4B"/>
    <w:rsid w:val="00FC001E"/>
    <w:rsid w:val="00FC07D8"/>
    <w:rsid w:val="00FC1777"/>
    <w:rsid w:val="00FC3231"/>
    <w:rsid w:val="00FC6267"/>
    <w:rsid w:val="00FC6673"/>
    <w:rsid w:val="00FC7B85"/>
    <w:rsid w:val="00FD2C7B"/>
    <w:rsid w:val="00FD5B52"/>
    <w:rsid w:val="00FD5BED"/>
    <w:rsid w:val="00FD7C20"/>
    <w:rsid w:val="00FE254E"/>
    <w:rsid w:val="00FE2841"/>
    <w:rsid w:val="00FE2CF1"/>
    <w:rsid w:val="00FE3800"/>
    <w:rsid w:val="00FE3C91"/>
    <w:rsid w:val="00FE42CB"/>
    <w:rsid w:val="00FE4E1E"/>
    <w:rsid w:val="00FE5180"/>
    <w:rsid w:val="00FE7F4C"/>
    <w:rsid w:val="00FF7A91"/>
    <w:rsid w:val="03E88DD5"/>
    <w:rsid w:val="462320E3"/>
    <w:rsid w:val="519450EF"/>
    <w:rsid w:val="569C2713"/>
    <w:rsid w:val="57AED622"/>
    <w:rsid w:val="68A98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D807A2C"/>
  <w14:defaultImageDpi w14:val="96"/>
  <w15:docId w15:val="{D2A6D873-E6DB-4196-AE3B-2B9B6375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DC9"/>
    <w:pPr>
      <w:spacing w:before="120" w:after="120" w:line="240" w:lineRule="auto"/>
      <w:ind w:left="567"/>
    </w:pPr>
    <w:rPr>
      <w:sz w:val="19"/>
      <w:szCs w:val="19"/>
    </w:rPr>
  </w:style>
  <w:style w:type="paragraph" w:styleId="Heading1">
    <w:name w:val="heading 1"/>
    <w:basedOn w:val="Normal"/>
    <w:next w:val="Normal"/>
    <w:link w:val="Heading1Char"/>
    <w:uiPriority w:val="9"/>
    <w:rsid w:val="003E173C"/>
    <w:pPr>
      <w:keepNext/>
      <w:keepLines/>
      <w:spacing w:before="240" w:after="0"/>
      <w:outlineLvl w:val="0"/>
    </w:pPr>
    <w:rPr>
      <w:rFonts w:asciiTheme="majorHAnsi" w:eastAsiaTheme="majorEastAsia" w:hAnsiTheme="majorHAnsi" w:cstheme="majorBidi"/>
      <w:color w:val="004F39" w:themeColor="accent1" w:themeShade="BF"/>
      <w:sz w:val="32"/>
      <w:szCs w:val="32"/>
    </w:rPr>
  </w:style>
  <w:style w:type="paragraph" w:styleId="Heading2">
    <w:name w:val="heading 2"/>
    <w:basedOn w:val="Normal"/>
    <w:next w:val="Normal"/>
    <w:link w:val="Heading2Char"/>
    <w:uiPriority w:val="9"/>
    <w:unhideWhenUsed/>
    <w:rsid w:val="0057276A"/>
    <w:pPr>
      <w:keepNext/>
      <w:keepLines/>
      <w:spacing w:before="40" w:after="0"/>
      <w:outlineLvl w:val="1"/>
    </w:pPr>
    <w:rPr>
      <w:rFonts w:asciiTheme="majorHAnsi" w:eastAsiaTheme="majorEastAsia" w:hAnsiTheme="majorHAnsi" w:cstheme="majorBidi"/>
      <w:color w:val="004F39" w:themeColor="accent1" w:themeShade="BF"/>
      <w:sz w:val="26"/>
      <w:szCs w:val="26"/>
    </w:rPr>
  </w:style>
  <w:style w:type="paragraph" w:styleId="Heading3">
    <w:name w:val="heading 3"/>
    <w:basedOn w:val="Normal"/>
    <w:next w:val="Normal"/>
    <w:link w:val="Heading3Char"/>
    <w:uiPriority w:val="9"/>
    <w:unhideWhenUsed/>
    <w:rsid w:val="0057276A"/>
    <w:pPr>
      <w:keepNext/>
      <w:keepLines/>
      <w:spacing w:before="40" w:after="0"/>
      <w:outlineLvl w:val="2"/>
    </w:pPr>
    <w:rPr>
      <w:rFonts w:asciiTheme="majorHAnsi" w:eastAsiaTheme="majorEastAsia" w:hAnsiTheme="majorHAnsi" w:cstheme="majorBidi"/>
      <w:color w:val="00342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E173C"/>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GIBody">
    <w:name w:val="_GI_Body"/>
    <w:basedOn w:val="NoParagraphStyle"/>
    <w:uiPriority w:val="99"/>
    <w:qFormat/>
    <w:rsid w:val="00993EF2"/>
    <w:pPr>
      <w:spacing w:after="160" w:line="320" w:lineRule="atLeast"/>
      <w:jc w:val="both"/>
    </w:pPr>
    <w:rPr>
      <w:rFonts w:ascii="Futura Bk BT" w:hAnsi="Futura Bk BT" w:cs="Futura Bk BT"/>
      <w:sz w:val="19"/>
      <w:szCs w:val="19"/>
    </w:rPr>
  </w:style>
  <w:style w:type="paragraph" w:customStyle="1" w:styleId="GIBodyBullets1">
    <w:name w:val="_GI_Body Bullets 1"/>
    <w:basedOn w:val="NoParagraphStyle"/>
    <w:uiPriority w:val="99"/>
    <w:qFormat/>
    <w:rsid w:val="006A4B23"/>
    <w:pPr>
      <w:numPr>
        <w:numId w:val="1"/>
      </w:numPr>
      <w:suppressAutoHyphens/>
      <w:spacing w:before="240" w:after="240" w:line="240" w:lineRule="auto"/>
    </w:pPr>
    <w:rPr>
      <w:rFonts w:ascii="Futura Bk BT" w:hAnsi="Futura Bk BT" w:cs="Futura Bk BT"/>
      <w:sz w:val="19"/>
      <w:szCs w:val="19"/>
    </w:rPr>
  </w:style>
  <w:style w:type="paragraph" w:customStyle="1" w:styleId="GIBodyBullets2">
    <w:name w:val="_GI_Body Bullets 2"/>
    <w:basedOn w:val="NoParagraphStyle"/>
    <w:uiPriority w:val="99"/>
    <w:qFormat/>
    <w:rsid w:val="00993EF2"/>
    <w:pPr>
      <w:numPr>
        <w:numId w:val="2"/>
      </w:numPr>
      <w:suppressAutoHyphens/>
      <w:spacing w:after="80" w:line="320" w:lineRule="exact"/>
      <w:ind w:left="734" w:hanging="187"/>
    </w:pPr>
    <w:rPr>
      <w:rFonts w:ascii="Futura Bk BT" w:hAnsi="Futura Bk BT" w:cs="Futura Bk BT"/>
      <w:sz w:val="19"/>
      <w:szCs w:val="19"/>
    </w:rPr>
  </w:style>
  <w:style w:type="paragraph" w:customStyle="1" w:styleId="GIRFPNumberedList">
    <w:name w:val="_GI_RFP_Numbered List"/>
    <w:basedOn w:val="GIBody"/>
    <w:uiPriority w:val="99"/>
    <w:qFormat/>
    <w:rsid w:val="00993EF2"/>
    <w:pPr>
      <w:numPr>
        <w:numId w:val="6"/>
      </w:numPr>
      <w:jc w:val="left"/>
    </w:pPr>
  </w:style>
  <w:style w:type="paragraph" w:styleId="ListParagraph">
    <w:name w:val="List Paragraph"/>
    <w:aliases w:val="Paragraphe de liste"/>
    <w:basedOn w:val="Normal"/>
    <w:link w:val="ListParagraphChar"/>
    <w:uiPriority w:val="34"/>
    <w:qFormat/>
    <w:rsid w:val="00993EF2"/>
    <w:pPr>
      <w:ind w:left="720"/>
      <w:contextualSpacing/>
    </w:pPr>
  </w:style>
  <w:style w:type="paragraph" w:customStyle="1" w:styleId="GIBodyNumberedList">
    <w:name w:val="_GI_Body Numbered List"/>
    <w:basedOn w:val="GIBodyBullets1"/>
    <w:qFormat/>
    <w:rsid w:val="00755FD3"/>
    <w:pPr>
      <w:numPr>
        <w:numId w:val="7"/>
      </w:numPr>
      <w:spacing w:before="120" w:after="120" w:line="300" w:lineRule="exact"/>
      <w:ind w:left="567" w:hanging="567"/>
    </w:pPr>
    <w:rPr>
      <w:rFonts w:eastAsia="Futura Bk BT"/>
      <w:color w:val="5F5F5F" w:themeColor="text2" w:themeShade="BF"/>
      <w:sz w:val="20"/>
    </w:rPr>
  </w:style>
  <w:style w:type="paragraph" w:customStyle="1" w:styleId="GISectionNumber">
    <w:name w:val="_GI_Section Number"/>
    <w:basedOn w:val="NoParagraphStyle"/>
    <w:uiPriority w:val="99"/>
    <w:qFormat/>
    <w:rsid w:val="003E173C"/>
    <w:pPr>
      <w:suppressAutoHyphens/>
      <w:spacing w:line="240" w:lineRule="atLeast"/>
      <w:ind w:left="576" w:hanging="562"/>
      <w:jc w:val="right"/>
    </w:pPr>
    <w:rPr>
      <w:rFonts w:ascii="Futura MdCn BT" w:hAnsi="Futura MdCn BT" w:cs="Futura MdCn BT"/>
      <w:color w:val="FFFFFF" w:themeColor="background1"/>
      <w:spacing w:val="-120"/>
      <w:sz w:val="288"/>
      <w:szCs w:val="288"/>
    </w:rPr>
  </w:style>
  <w:style w:type="paragraph" w:customStyle="1" w:styleId="GIHeader1">
    <w:name w:val="_GI_Header 1"/>
    <w:basedOn w:val="NoParagraphStyle"/>
    <w:uiPriority w:val="99"/>
    <w:qFormat/>
    <w:rsid w:val="003E173C"/>
    <w:pPr>
      <w:suppressAutoHyphens/>
      <w:spacing w:after="160" w:line="580" w:lineRule="atLeast"/>
    </w:pPr>
    <w:rPr>
      <w:rFonts w:ascii="Futura MdCn BT" w:hAnsi="Futura MdCn BT" w:cs="Futura MdCn BT"/>
      <w:caps/>
      <w:color w:val="006E51"/>
      <w:sz w:val="52"/>
      <w:szCs w:val="52"/>
    </w:rPr>
  </w:style>
  <w:style w:type="paragraph" w:customStyle="1" w:styleId="GIHeader2">
    <w:name w:val="_GI_Header 2"/>
    <w:basedOn w:val="NoParagraphStyle"/>
    <w:uiPriority w:val="99"/>
    <w:qFormat/>
    <w:rsid w:val="00145310"/>
    <w:pPr>
      <w:suppressAutoHyphens/>
      <w:spacing w:after="80" w:line="380" w:lineRule="atLeast"/>
      <w:contextualSpacing/>
    </w:pPr>
    <w:rPr>
      <w:rFonts w:ascii="Futura MdCn BT" w:hAnsi="Futura MdCn BT" w:cs="Futura MdCn BT"/>
      <w:caps/>
      <w:color w:val="69BE28" w:themeColor="accent2"/>
      <w:sz w:val="32"/>
      <w:szCs w:val="32"/>
    </w:rPr>
  </w:style>
  <w:style w:type="paragraph" w:customStyle="1" w:styleId="GIHeader3">
    <w:name w:val="_GI_Header 3"/>
    <w:basedOn w:val="NoParagraphStyle"/>
    <w:uiPriority w:val="99"/>
    <w:qFormat/>
    <w:rsid w:val="00145310"/>
    <w:pPr>
      <w:suppressAutoHyphens/>
      <w:spacing w:after="80" w:line="340" w:lineRule="atLeast"/>
    </w:pPr>
    <w:rPr>
      <w:rFonts w:ascii="Futura MdCn BT" w:hAnsi="Futura MdCn BT" w:cs="Futura MdCn BT"/>
      <w:caps/>
      <w:color w:val="006A4D" w:themeColor="accent1"/>
      <w:sz w:val="28"/>
      <w:szCs w:val="28"/>
    </w:rPr>
  </w:style>
  <w:style w:type="paragraph" w:customStyle="1" w:styleId="GIHeader4">
    <w:name w:val="_GI_Header 4"/>
    <w:basedOn w:val="NoParagraphStyle"/>
    <w:uiPriority w:val="99"/>
    <w:qFormat/>
    <w:rsid w:val="00145310"/>
    <w:pPr>
      <w:suppressAutoHyphens/>
      <w:spacing w:after="80" w:line="280" w:lineRule="atLeast"/>
    </w:pPr>
    <w:rPr>
      <w:rFonts w:ascii="Futura MdCn BT" w:hAnsi="Futura MdCn BT" w:cs="Futura MdCn BT"/>
      <w:caps/>
      <w:color w:val="69BE28" w:themeColor="accent2"/>
    </w:rPr>
  </w:style>
  <w:style w:type="paragraph" w:customStyle="1" w:styleId="GIHeader5">
    <w:name w:val="_GI_Header 5"/>
    <w:basedOn w:val="NoParagraphStyle"/>
    <w:uiPriority w:val="99"/>
    <w:qFormat/>
    <w:rsid w:val="00145310"/>
    <w:pPr>
      <w:suppressAutoHyphens/>
      <w:spacing w:after="80" w:line="240" w:lineRule="atLeast"/>
      <w:jc w:val="both"/>
    </w:pPr>
    <w:rPr>
      <w:rFonts w:ascii="Futura Md BT" w:hAnsi="Futura Md BT" w:cs="Futura Md BT"/>
      <w:caps/>
      <w:color w:val="006A4D" w:themeColor="accent1"/>
      <w:sz w:val="19"/>
      <w:szCs w:val="19"/>
    </w:rPr>
  </w:style>
  <w:style w:type="paragraph" w:customStyle="1" w:styleId="GICalloutText">
    <w:name w:val="_GI_Callout Text"/>
    <w:basedOn w:val="NoParagraphStyle"/>
    <w:uiPriority w:val="99"/>
    <w:qFormat/>
    <w:rsid w:val="00145310"/>
    <w:pPr>
      <w:spacing w:line="620" w:lineRule="atLeast"/>
    </w:pPr>
    <w:rPr>
      <w:rFonts w:ascii="Futura MdCn BT" w:hAnsi="Futura MdCn BT" w:cs="Futura MdCn BT"/>
      <w:caps/>
      <w:color w:val="69BE28" w:themeColor="accent2"/>
      <w:sz w:val="56"/>
      <w:szCs w:val="56"/>
    </w:rPr>
  </w:style>
  <w:style w:type="paragraph" w:customStyle="1" w:styleId="GIDividerTitle">
    <w:name w:val="_GI_Divider Title"/>
    <w:basedOn w:val="GICalloutText"/>
    <w:uiPriority w:val="99"/>
    <w:qFormat/>
    <w:rsid w:val="003E173C"/>
    <w:pPr>
      <w:suppressAutoHyphens/>
    </w:pPr>
    <w:rPr>
      <w:color w:val="FFFFFF"/>
    </w:rPr>
  </w:style>
  <w:style w:type="paragraph" w:customStyle="1" w:styleId="GIIntroParagraph">
    <w:name w:val="_GI_Intro Paragraph"/>
    <w:basedOn w:val="NoParagraphStyle"/>
    <w:uiPriority w:val="99"/>
    <w:qFormat/>
    <w:rsid w:val="003E173C"/>
    <w:pPr>
      <w:suppressAutoHyphens/>
      <w:spacing w:after="160" w:line="320" w:lineRule="atLeast"/>
    </w:pPr>
    <w:rPr>
      <w:rFonts w:ascii="Futura Md BT" w:hAnsi="Futura Md BT" w:cs="Futura Md BT"/>
      <w:color w:val="006E51"/>
    </w:rPr>
  </w:style>
  <w:style w:type="paragraph" w:customStyle="1" w:styleId="GITOC">
    <w:name w:val="_GI_TOC"/>
    <w:basedOn w:val="TOC1"/>
    <w:uiPriority w:val="99"/>
    <w:qFormat/>
    <w:rsid w:val="003E173C"/>
    <w:pPr>
      <w:spacing w:after="80"/>
    </w:pPr>
  </w:style>
  <w:style w:type="paragraph" w:customStyle="1" w:styleId="GIRFPQuestion">
    <w:name w:val="_GI_RFP_Question"/>
    <w:basedOn w:val="GIHeader4"/>
    <w:uiPriority w:val="99"/>
    <w:qFormat/>
    <w:rsid w:val="00145310"/>
    <w:pPr>
      <w:spacing w:after="160"/>
    </w:pPr>
    <w:rPr>
      <w:caps w:val="0"/>
      <w:color w:val="006A4D" w:themeColor="accent1"/>
    </w:rPr>
  </w:style>
  <w:style w:type="paragraph" w:customStyle="1" w:styleId="GITableGraphicTitle">
    <w:name w:val="_GI_Table/Graphic Title"/>
    <w:basedOn w:val="GIHeader4"/>
    <w:uiPriority w:val="99"/>
    <w:qFormat/>
    <w:rsid w:val="00993EF2"/>
  </w:style>
  <w:style w:type="paragraph" w:customStyle="1" w:styleId="GITableTitleSubtitleFinancialInformation">
    <w:name w:val="_GI_Table Title Subtitle Financial Information"/>
    <w:basedOn w:val="NoParagraphStyle"/>
    <w:uiPriority w:val="99"/>
    <w:qFormat/>
    <w:rsid w:val="003E173C"/>
    <w:pPr>
      <w:suppressAutoHyphens/>
      <w:spacing w:line="240" w:lineRule="atLeast"/>
    </w:pPr>
    <w:rPr>
      <w:rFonts w:ascii="Futura Md BT" w:hAnsi="Futura Md BT" w:cs="Futura MdCn BT"/>
      <w:color w:val="000000" w:themeColor="text1"/>
      <w:sz w:val="18"/>
      <w:szCs w:val="22"/>
    </w:rPr>
  </w:style>
  <w:style w:type="paragraph" w:customStyle="1" w:styleId="GITableBody">
    <w:name w:val="_GI_Table Body"/>
    <w:basedOn w:val="NoParagraphStyle"/>
    <w:uiPriority w:val="99"/>
    <w:qFormat/>
    <w:rsid w:val="000069C2"/>
    <w:pPr>
      <w:suppressAutoHyphens/>
      <w:spacing w:line="240" w:lineRule="auto"/>
      <w:jc w:val="both"/>
    </w:pPr>
    <w:rPr>
      <w:rFonts w:ascii="Futura Bk BT" w:hAnsi="Futura Bk BT" w:cs="Futura Bk BT"/>
      <w:sz w:val="18"/>
      <w:szCs w:val="18"/>
    </w:rPr>
  </w:style>
  <w:style w:type="paragraph" w:customStyle="1" w:styleId="GITableBodyFinancial">
    <w:name w:val="_GI_Table Body Financial"/>
    <w:basedOn w:val="GITableBody"/>
    <w:uiPriority w:val="99"/>
    <w:qFormat/>
    <w:rsid w:val="003E173C"/>
    <w:pPr>
      <w:jc w:val="right"/>
    </w:pPr>
  </w:style>
  <w:style w:type="paragraph" w:customStyle="1" w:styleId="GITableBodyFinancialBold">
    <w:name w:val="_GI_Table Body Financial Bold"/>
    <w:basedOn w:val="GITableBodyFinancial"/>
    <w:uiPriority w:val="99"/>
    <w:qFormat/>
    <w:rsid w:val="003E173C"/>
    <w:rPr>
      <w:rFonts w:ascii="Futura Md BT" w:hAnsi="Futura Md BT" w:cs="Futura Md BT"/>
    </w:rPr>
  </w:style>
  <w:style w:type="paragraph" w:customStyle="1" w:styleId="GITableBodyFinancialwithIndentAfter">
    <w:name w:val="_GI_Table Body Financial with Indent After"/>
    <w:basedOn w:val="GITableBody"/>
    <w:uiPriority w:val="99"/>
    <w:qFormat/>
    <w:rsid w:val="003E173C"/>
    <w:pPr>
      <w:ind w:left="187" w:hanging="187"/>
      <w:jc w:val="left"/>
    </w:pPr>
  </w:style>
  <w:style w:type="paragraph" w:customStyle="1" w:styleId="GITableNumberedList">
    <w:name w:val="_GI_Table Numbered List"/>
    <w:basedOn w:val="GITableBody"/>
    <w:uiPriority w:val="99"/>
    <w:qFormat/>
    <w:rsid w:val="003E173C"/>
    <w:pPr>
      <w:ind w:left="245" w:hanging="245"/>
    </w:pPr>
  </w:style>
  <w:style w:type="paragraph" w:customStyle="1" w:styleId="GITableBullet1">
    <w:name w:val="_GI_Table Bullet 1"/>
    <w:basedOn w:val="GITableBody"/>
    <w:uiPriority w:val="99"/>
    <w:qFormat/>
    <w:rsid w:val="00D366B5"/>
    <w:pPr>
      <w:numPr>
        <w:numId w:val="3"/>
      </w:numPr>
      <w:ind w:left="300" w:hanging="300"/>
    </w:pPr>
  </w:style>
  <w:style w:type="paragraph" w:customStyle="1" w:styleId="GITableBullet2">
    <w:name w:val="_GI_Table Bullet 2"/>
    <w:uiPriority w:val="99"/>
    <w:qFormat/>
    <w:rsid w:val="003E173C"/>
    <w:pPr>
      <w:numPr>
        <w:numId w:val="4"/>
      </w:numPr>
      <w:spacing w:after="80" w:line="240" w:lineRule="exact"/>
    </w:pPr>
    <w:rPr>
      <w:rFonts w:ascii="Futura Bk BT" w:hAnsi="Futura Bk BT" w:cs="Futura Bk BT"/>
      <w:color w:val="000000"/>
      <w:sz w:val="18"/>
      <w:szCs w:val="18"/>
    </w:rPr>
  </w:style>
  <w:style w:type="paragraph" w:customStyle="1" w:styleId="GITableRowHeader">
    <w:name w:val="_GI_Table Row Header"/>
    <w:basedOn w:val="NoParagraphStyle"/>
    <w:uiPriority w:val="99"/>
    <w:qFormat/>
    <w:rsid w:val="003E173C"/>
    <w:pPr>
      <w:spacing w:line="240" w:lineRule="atLeast"/>
    </w:pPr>
    <w:rPr>
      <w:rFonts w:ascii="Futura MdCn BT" w:hAnsi="Futura MdCn BT" w:cs="Futura MdCn BT"/>
      <w:color w:val="006A4D" w:themeColor="accent1"/>
      <w:sz w:val="22"/>
      <w:szCs w:val="22"/>
    </w:rPr>
  </w:style>
  <w:style w:type="paragraph" w:customStyle="1" w:styleId="GITableRowHeaderFinancial">
    <w:name w:val="_GI_Table Row Header Financial"/>
    <w:basedOn w:val="GITableRowHeader"/>
    <w:uiPriority w:val="99"/>
    <w:qFormat/>
    <w:rsid w:val="003E173C"/>
    <w:pPr>
      <w:jc w:val="right"/>
    </w:pPr>
  </w:style>
  <w:style w:type="paragraph" w:customStyle="1" w:styleId="GITableSubheadFinancial">
    <w:name w:val="_GI_Table Subhead Financial"/>
    <w:basedOn w:val="NoParagraphStyle"/>
    <w:uiPriority w:val="99"/>
    <w:qFormat/>
    <w:rsid w:val="00145310"/>
    <w:pPr>
      <w:spacing w:line="240" w:lineRule="atLeast"/>
    </w:pPr>
    <w:rPr>
      <w:rFonts w:ascii="Futura MdCn BT" w:hAnsi="Futura MdCn BT" w:cs="Futura MdCn BT"/>
      <w:caps/>
      <w:color w:val="006A4D" w:themeColor="accent1"/>
      <w:sz w:val="22"/>
      <w:szCs w:val="22"/>
    </w:rPr>
  </w:style>
  <w:style w:type="paragraph" w:customStyle="1" w:styleId="GITableSubcategoryFinancial">
    <w:name w:val="_GI_Table Subcategory Financial"/>
    <w:basedOn w:val="GITableBody"/>
    <w:uiPriority w:val="99"/>
    <w:qFormat/>
    <w:rsid w:val="003E173C"/>
    <w:pPr>
      <w:ind w:left="180" w:hanging="180"/>
      <w:jc w:val="left"/>
    </w:pPr>
    <w:rPr>
      <w:rFonts w:ascii="Futura Md BT" w:hAnsi="Futura Md BT" w:cs="Futura Md BT"/>
    </w:rPr>
  </w:style>
  <w:style w:type="paragraph" w:customStyle="1" w:styleId="GITableGrandTotal">
    <w:name w:val="_GI_Table Grand Total"/>
    <w:basedOn w:val="GITableRowHeader"/>
    <w:uiPriority w:val="99"/>
    <w:qFormat/>
    <w:rsid w:val="003E173C"/>
    <w:rPr>
      <w:caps/>
    </w:rPr>
  </w:style>
  <w:style w:type="paragraph" w:customStyle="1" w:styleId="GITableSubtotal">
    <w:name w:val="_GI_Table Subtotal"/>
    <w:basedOn w:val="NoParagraphStyle"/>
    <w:uiPriority w:val="99"/>
    <w:qFormat/>
    <w:rsid w:val="003E173C"/>
    <w:pPr>
      <w:spacing w:line="240" w:lineRule="atLeast"/>
    </w:pPr>
    <w:rPr>
      <w:rFonts w:ascii="Futura MdCn BT" w:hAnsi="Futura MdCn BT" w:cs="Futura MdCn BT"/>
      <w:caps/>
      <w:sz w:val="22"/>
      <w:szCs w:val="22"/>
    </w:rPr>
  </w:style>
  <w:style w:type="paragraph" w:customStyle="1" w:styleId="GITableColumnHeader">
    <w:name w:val="_GI_Table Column Header"/>
    <w:basedOn w:val="GITableRowHeader"/>
    <w:uiPriority w:val="99"/>
    <w:qFormat/>
    <w:rsid w:val="003E173C"/>
  </w:style>
  <w:style w:type="paragraph" w:customStyle="1" w:styleId="GIKPISubtext">
    <w:name w:val="_GI_KPI Subtext"/>
    <w:basedOn w:val="NoParagraphStyle"/>
    <w:uiPriority w:val="99"/>
    <w:qFormat/>
    <w:rsid w:val="003E173C"/>
    <w:pPr>
      <w:suppressAutoHyphens/>
      <w:spacing w:before="80" w:line="240" w:lineRule="atLeast"/>
      <w:jc w:val="right"/>
    </w:pPr>
    <w:rPr>
      <w:rFonts w:ascii="Futura Md BT" w:hAnsi="Futura Md BT" w:cs="Futura Md BT"/>
      <w:sz w:val="20"/>
      <w:szCs w:val="20"/>
    </w:rPr>
  </w:style>
  <w:style w:type="paragraph" w:customStyle="1" w:styleId="GIKPICallout">
    <w:name w:val="_GI_KPI Callout"/>
    <w:basedOn w:val="NoParagraphStyle"/>
    <w:uiPriority w:val="99"/>
    <w:qFormat/>
    <w:rsid w:val="003E173C"/>
    <w:pPr>
      <w:suppressAutoHyphens/>
      <w:spacing w:line="520" w:lineRule="atLeast"/>
      <w:jc w:val="right"/>
    </w:pPr>
    <w:rPr>
      <w:rFonts w:ascii="Futura MdCn BT" w:hAnsi="Futura MdCn BT" w:cs="Futura MdCn BT"/>
      <w:caps/>
      <w:color w:val="69BE28"/>
      <w:spacing w:val="7"/>
      <w:sz w:val="72"/>
      <w:szCs w:val="72"/>
    </w:rPr>
  </w:style>
  <w:style w:type="paragraph" w:customStyle="1" w:styleId="GIPhotoCaption">
    <w:name w:val="_GI_Photo Caption"/>
    <w:basedOn w:val="NoParagraphStyle"/>
    <w:uiPriority w:val="99"/>
    <w:qFormat/>
    <w:rsid w:val="003E173C"/>
    <w:rPr>
      <w:rFonts w:ascii="Futura Bk BT" w:hAnsi="Futura Bk BT" w:cs="Futura Bk BT"/>
      <w:color w:val="69BE28"/>
      <w:sz w:val="20"/>
      <w:szCs w:val="20"/>
    </w:rPr>
  </w:style>
  <w:style w:type="paragraph" w:customStyle="1" w:styleId="GIFootnote">
    <w:name w:val="_GI_Footnote"/>
    <w:basedOn w:val="NoParagraphStyle"/>
    <w:uiPriority w:val="99"/>
    <w:qFormat/>
    <w:rsid w:val="003E173C"/>
    <w:pPr>
      <w:suppressAutoHyphens/>
      <w:spacing w:line="160" w:lineRule="atLeast"/>
      <w:jc w:val="both"/>
    </w:pPr>
    <w:rPr>
      <w:rFonts w:ascii="Futura Bk BT" w:hAnsi="Futura Bk BT" w:cs="Futura Bk BT"/>
      <w:spacing w:val="-2"/>
      <w:sz w:val="16"/>
      <w:szCs w:val="16"/>
    </w:rPr>
  </w:style>
  <w:style w:type="paragraph" w:customStyle="1" w:styleId="GIBioName">
    <w:name w:val="_GI_Bio Name"/>
    <w:basedOn w:val="NoParagraphStyle"/>
    <w:uiPriority w:val="99"/>
    <w:qFormat/>
    <w:rsid w:val="00F61588"/>
    <w:pPr>
      <w:suppressAutoHyphens/>
      <w:spacing w:line="400" w:lineRule="atLeast"/>
      <w:ind w:left="274" w:hanging="274"/>
      <w:jc w:val="both"/>
    </w:pPr>
    <w:rPr>
      <w:rFonts w:ascii="Futura MdCn BT" w:hAnsi="Futura MdCn BT" w:cs="Futura MdCn BT"/>
      <w:caps/>
      <w:color w:val="006A4D" w:themeColor="accent1"/>
      <w:sz w:val="32"/>
      <w:szCs w:val="32"/>
    </w:rPr>
  </w:style>
  <w:style w:type="paragraph" w:customStyle="1" w:styleId="GIBioJobTitle">
    <w:name w:val="_GI_Bio Job Title"/>
    <w:basedOn w:val="NoParagraphStyle"/>
    <w:uiPriority w:val="99"/>
    <w:qFormat/>
    <w:rsid w:val="003E173C"/>
    <w:pPr>
      <w:suppressAutoHyphens/>
      <w:spacing w:line="240" w:lineRule="atLeast"/>
    </w:pPr>
    <w:rPr>
      <w:rFonts w:ascii="Futura MdCn BT" w:hAnsi="Futura MdCn BT" w:cs="Futura MdCn BT"/>
      <w:color w:val="69BE28"/>
    </w:rPr>
  </w:style>
  <w:style w:type="paragraph" w:customStyle="1" w:styleId="GIBioContactInfo">
    <w:name w:val="_GI_Bio Contact Info"/>
    <w:basedOn w:val="NoParagraphStyle"/>
    <w:uiPriority w:val="99"/>
    <w:qFormat/>
    <w:rsid w:val="00F61588"/>
    <w:pPr>
      <w:suppressAutoHyphens/>
      <w:spacing w:line="240" w:lineRule="atLeast"/>
    </w:pPr>
    <w:rPr>
      <w:rFonts w:ascii="Futura MdCn BT" w:eastAsia="PMingLiU" w:hAnsi="Futura MdCn BT" w:cs="Futura MdCn BT"/>
      <w:color w:val="69BE28" w:themeColor="accent2"/>
      <w:sz w:val="21"/>
      <w:szCs w:val="21"/>
    </w:rPr>
  </w:style>
  <w:style w:type="paragraph" w:customStyle="1" w:styleId="GICaseStudyPropertyName">
    <w:name w:val="_GI_Case Study Property Name"/>
    <w:basedOn w:val="NoParagraphStyle"/>
    <w:uiPriority w:val="99"/>
    <w:qFormat/>
    <w:rsid w:val="003E173C"/>
    <w:pPr>
      <w:suppressAutoHyphens/>
      <w:spacing w:line="380" w:lineRule="atLeast"/>
    </w:pPr>
    <w:rPr>
      <w:rFonts w:ascii="Futura MdCn BT" w:hAnsi="Futura MdCn BT" w:cs="Futura MdCn BT"/>
      <w:caps/>
      <w:color w:val="006E51"/>
      <w:sz w:val="32"/>
      <w:szCs w:val="32"/>
    </w:rPr>
  </w:style>
  <w:style w:type="paragraph" w:customStyle="1" w:styleId="GICaseStudyCityName">
    <w:name w:val="_GI_Case Study City Name"/>
    <w:basedOn w:val="GIBioJobTitle"/>
    <w:uiPriority w:val="99"/>
    <w:qFormat/>
    <w:rsid w:val="003E173C"/>
    <w:pPr>
      <w:spacing w:after="160"/>
    </w:pPr>
  </w:style>
  <w:style w:type="paragraph" w:customStyle="1" w:styleId="GIExecSummaryDescriptor">
    <w:name w:val="_GI_Exec Summary Descriptor"/>
    <w:basedOn w:val="NoParagraphStyle"/>
    <w:uiPriority w:val="99"/>
    <w:qFormat/>
    <w:rsid w:val="003E173C"/>
    <w:pPr>
      <w:suppressAutoHyphens/>
      <w:spacing w:line="280" w:lineRule="atLeast"/>
      <w:jc w:val="right"/>
    </w:pPr>
    <w:rPr>
      <w:rFonts w:ascii="Futura MdCn BT" w:hAnsi="Futura MdCn BT" w:cs="Futura MdCn BT"/>
      <w:caps/>
      <w:color w:val="006E51"/>
    </w:rPr>
  </w:style>
  <w:style w:type="paragraph" w:customStyle="1" w:styleId="GIExecSummaryDate">
    <w:name w:val="_GI_Exec Summary Date"/>
    <w:basedOn w:val="NoParagraphStyle"/>
    <w:uiPriority w:val="99"/>
    <w:qFormat/>
    <w:rsid w:val="003E173C"/>
    <w:pPr>
      <w:suppressAutoHyphens/>
      <w:spacing w:line="280" w:lineRule="atLeast"/>
      <w:jc w:val="right"/>
    </w:pPr>
    <w:rPr>
      <w:rFonts w:ascii="Futura MdCn BT" w:hAnsi="Futura MdCn BT" w:cs="Futura MdCn BT"/>
      <w:caps/>
      <w:color w:val="69BE28"/>
    </w:rPr>
  </w:style>
  <w:style w:type="paragraph" w:styleId="BalloonText">
    <w:name w:val="Balloon Text"/>
    <w:basedOn w:val="Normal"/>
    <w:link w:val="BalloonTextChar"/>
    <w:uiPriority w:val="99"/>
    <w:semiHidden/>
    <w:unhideWhenUsed/>
    <w:rsid w:val="003E173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73C"/>
    <w:rPr>
      <w:rFonts w:ascii="Tahoma" w:hAnsi="Tahoma" w:cs="Tahoma"/>
      <w:sz w:val="16"/>
      <w:szCs w:val="16"/>
    </w:rPr>
  </w:style>
  <w:style w:type="table" w:styleId="TableGrid">
    <w:name w:val="Table Grid"/>
    <w:basedOn w:val="TableNormal"/>
    <w:uiPriority w:val="59"/>
    <w:rsid w:val="003E1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IBodyEmphasis">
    <w:name w:val="_GI_Body Emphasis"/>
    <w:basedOn w:val="GIBody"/>
    <w:qFormat/>
    <w:rsid w:val="00C34EB2"/>
    <w:pPr>
      <w:spacing w:before="120" w:after="120" w:line="300" w:lineRule="exact"/>
      <w:ind w:right="828"/>
      <w:jc w:val="left"/>
    </w:pPr>
    <w:rPr>
      <w:rFonts w:asciiTheme="majorHAnsi" w:hAnsiTheme="majorHAnsi"/>
    </w:rPr>
  </w:style>
  <w:style w:type="paragraph" w:customStyle="1" w:styleId="GIRFPQuestionNumbered">
    <w:name w:val="_GI_RFP_Question Numbered"/>
    <w:basedOn w:val="GIRFPQuestion"/>
    <w:qFormat/>
    <w:rsid w:val="003E173C"/>
    <w:pPr>
      <w:ind w:left="274" w:hanging="274"/>
    </w:pPr>
  </w:style>
  <w:style w:type="paragraph" w:styleId="NormalWeb">
    <w:name w:val="Normal (Web)"/>
    <w:basedOn w:val="Normal"/>
    <w:uiPriority w:val="99"/>
    <w:unhideWhenUsed/>
    <w:rsid w:val="003E173C"/>
    <w:pPr>
      <w:spacing w:before="100" w:beforeAutospacing="1" w:after="100" w:afterAutospacing="1"/>
    </w:pPr>
    <w:rPr>
      <w:rFonts w:ascii="Times New Roman" w:eastAsia="Times New Roman" w:hAnsi="Times New Roman" w:cs="Times New Roman"/>
      <w:sz w:val="24"/>
      <w:szCs w:val="24"/>
    </w:rPr>
  </w:style>
  <w:style w:type="paragraph" w:customStyle="1" w:styleId="GIHeader1Section">
    <w:name w:val="_GI_Header 1 Section"/>
    <w:basedOn w:val="TOCHeading"/>
    <w:autoRedefine/>
    <w:qFormat/>
    <w:rsid w:val="00F337BA"/>
    <w:pPr>
      <w:numPr>
        <w:numId w:val="5"/>
      </w:numPr>
      <w:spacing w:before="0" w:after="600" w:line="240" w:lineRule="auto"/>
      <w:ind w:left="567" w:hanging="567"/>
      <w:outlineLvl w:val="0"/>
    </w:pPr>
    <w:rPr>
      <w:rFonts w:ascii="Futura MdCn BT" w:eastAsia="Futura Bk BT" w:hAnsi="Futura MdCn BT" w:cs="Futura Bk BT"/>
      <w:caps/>
      <w:noProof/>
      <w:color w:val="006A4D" w:themeColor="accent1"/>
      <w:sz w:val="52"/>
      <w:szCs w:val="18"/>
      <w:lang w:val="en-GB" w:eastAsia="en-GB"/>
    </w:rPr>
  </w:style>
  <w:style w:type="paragraph" w:customStyle="1" w:styleId="GITOCHeader1">
    <w:name w:val="_GI_TOC Header 1"/>
    <w:qFormat/>
    <w:rsid w:val="00D83475"/>
    <w:pPr>
      <w:spacing w:after="240" w:line="600" w:lineRule="exact"/>
    </w:pPr>
    <w:rPr>
      <w:rFonts w:ascii="Futura MdCn BT" w:hAnsi="Futura MdCn BT" w:cs="Futura MdCn BT"/>
      <w:caps/>
      <w:color w:val="006A4D" w:themeColor="accent1"/>
      <w:sz w:val="48"/>
      <w:szCs w:val="52"/>
    </w:rPr>
  </w:style>
  <w:style w:type="paragraph" w:customStyle="1" w:styleId="GITOCHeader2">
    <w:name w:val="_GI_TOC Header 2"/>
    <w:basedOn w:val="GIHeader2"/>
    <w:qFormat/>
    <w:rsid w:val="00FE5180"/>
    <w:rPr>
      <w:sz w:val="28"/>
      <w:szCs w:val="28"/>
    </w:rPr>
  </w:style>
  <w:style w:type="character" w:customStyle="1" w:styleId="Heading1Char">
    <w:name w:val="Heading 1 Char"/>
    <w:basedOn w:val="DefaultParagraphFont"/>
    <w:link w:val="Heading1"/>
    <w:uiPriority w:val="9"/>
    <w:rsid w:val="003E173C"/>
    <w:rPr>
      <w:rFonts w:asciiTheme="majorHAnsi" w:eastAsiaTheme="majorEastAsia" w:hAnsiTheme="majorHAnsi" w:cstheme="majorBidi"/>
      <w:color w:val="004F39" w:themeColor="accent1" w:themeShade="BF"/>
      <w:sz w:val="32"/>
      <w:szCs w:val="32"/>
    </w:rPr>
  </w:style>
  <w:style w:type="paragraph" w:styleId="TOCHeading">
    <w:name w:val="TOC Heading"/>
    <w:basedOn w:val="Heading1"/>
    <w:next w:val="Normal"/>
    <w:uiPriority w:val="39"/>
    <w:unhideWhenUsed/>
    <w:rsid w:val="003E173C"/>
    <w:pPr>
      <w:spacing w:line="259" w:lineRule="auto"/>
      <w:outlineLvl w:val="9"/>
    </w:pPr>
  </w:style>
  <w:style w:type="paragraph" w:styleId="TOC3">
    <w:name w:val="toc 3"/>
    <w:basedOn w:val="Normal"/>
    <w:next w:val="Normal"/>
    <w:autoRedefine/>
    <w:uiPriority w:val="39"/>
    <w:unhideWhenUsed/>
    <w:rsid w:val="0033603A"/>
    <w:pPr>
      <w:spacing w:after="0"/>
    </w:pPr>
    <w:rPr>
      <w:rFonts w:ascii="Futura Bk BT" w:hAnsi="Futura Bk BT"/>
      <w:smallCaps/>
    </w:rPr>
  </w:style>
  <w:style w:type="character" w:styleId="Hyperlink">
    <w:name w:val="Hyperlink"/>
    <w:basedOn w:val="DefaultParagraphFont"/>
    <w:uiPriority w:val="99"/>
    <w:unhideWhenUsed/>
    <w:rsid w:val="003E173C"/>
    <w:rPr>
      <w:color w:val="006A4D" w:themeColor="hyperlink"/>
      <w:u w:val="single"/>
    </w:rPr>
  </w:style>
  <w:style w:type="paragraph" w:customStyle="1" w:styleId="GITableColumnHeaderFinancial">
    <w:name w:val="_GI_Table Column Header Financial"/>
    <w:basedOn w:val="GITableColumnHeader"/>
    <w:qFormat/>
    <w:rsid w:val="003E173C"/>
    <w:pPr>
      <w:jc w:val="right"/>
    </w:pPr>
  </w:style>
  <w:style w:type="paragraph" w:styleId="TOC1">
    <w:name w:val="toc 1"/>
    <w:aliases w:val="_GI_TOC 1"/>
    <w:basedOn w:val="Normal"/>
    <w:next w:val="Normal"/>
    <w:autoRedefine/>
    <w:uiPriority w:val="39"/>
    <w:unhideWhenUsed/>
    <w:qFormat/>
    <w:rsid w:val="00D83475"/>
    <w:pPr>
      <w:tabs>
        <w:tab w:val="left" w:pos="382"/>
        <w:tab w:val="right" w:leader="dot" w:pos="10309"/>
      </w:tabs>
      <w:spacing w:after="240" w:line="240" w:lineRule="exact"/>
      <w:jc w:val="both"/>
    </w:pPr>
    <w:rPr>
      <w:rFonts w:ascii="Futura MdCn BT" w:hAnsi="Futura MdCn BT"/>
      <w:bCs/>
      <w:caps/>
      <w:sz w:val="28"/>
    </w:rPr>
  </w:style>
  <w:style w:type="character" w:styleId="CommentReference">
    <w:name w:val="annotation reference"/>
    <w:basedOn w:val="DefaultParagraphFont"/>
    <w:uiPriority w:val="99"/>
    <w:semiHidden/>
    <w:unhideWhenUsed/>
    <w:rsid w:val="003E173C"/>
    <w:rPr>
      <w:sz w:val="16"/>
      <w:szCs w:val="16"/>
    </w:rPr>
  </w:style>
  <w:style w:type="paragraph" w:styleId="CommentText">
    <w:name w:val="annotation text"/>
    <w:basedOn w:val="Normal"/>
    <w:link w:val="CommentTextChar"/>
    <w:uiPriority w:val="99"/>
    <w:unhideWhenUsed/>
    <w:rsid w:val="003E173C"/>
    <w:rPr>
      <w:sz w:val="20"/>
      <w:szCs w:val="20"/>
    </w:rPr>
  </w:style>
  <w:style w:type="character" w:customStyle="1" w:styleId="CommentTextChar">
    <w:name w:val="Comment Text Char"/>
    <w:basedOn w:val="DefaultParagraphFont"/>
    <w:link w:val="CommentText"/>
    <w:uiPriority w:val="99"/>
    <w:rsid w:val="003E173C"/>
    <w:rPr>
      <w:sz w:val="20"/>
      <w:szCs w:val="20"/>
    </w:rPr>
  </w:style>
  <w:style w:type="paragraph" w:styleId="CommentSubject">
    <w:name w:val="annotation subject"/>
    <w:basedOn w:val="CommentText"/>
    <w:next w:val="CommentText"/>
    <w:link w:val="CommentSubjectChar"/>
    <w:uiPriority w:val="99"/>
    <w:semiHidden/>
    <w:unhideWhenUsed/>
    <w:rsid w:val="003E173C"/>
    <w:rPr>
      <w:b/>
      <w:bCs/>
    </w:rPr>
  </w:style>
  <w:style w:type="character" w:customStyle="1" w:styleId="CommentSubjectChar">
    <w:name w:val="Comment Subject Char"/>
    <w:basedOn w:val="CommentTextChar"/>
    <w:link w:val="CommentSubject"/>
    <w:uiPriority w:val="99"/>
    <w:semiHidden/>
    <w:rsid w:val="003E173C"/>
    <w:rPr>
      <w:b/>
      <w:bCs/>
      <w:sz w:val="20"/>
      <w:szCs w:val="20"/>
    </w:rPr>
  </w:style>
  <w:style w:type="paragraph" w:customStyle="1" w:styleId="GICoverHeader1">
    <w:name w:val="_GI_Cover_Header 1"/>
    <w:basedOn w:val="GIHeader1"/>
    <w:qFormat/>
    <w:rsid w:val="00A417DC"/>
    <w:pPr>
      <w:framePr w:hSpace="180" w:wrap="around" w:vAnchor="text" w:hAnchor="margin" w:y="10915"/>
    </w:pPr>
    <w:rPr>
      <w:color w:val="006A4D" w:themeColor="accent1"/>
      <w:sz w:val="44"/>
      <w:szCs w:val="44"/>
    </w:rPr>
  </w:style>
  <w:style w:type="paragraph" w:styleId="Header">
    <w:name w:val="header"/>
    <w:basedOn w:val="Normal"/>
    <w:link w:val="HeaderChar"/>
    <w:uiPriority w:val="99"/>
    <w:unhideWhenUsed/>
    <w:rsid w:val="00A417DC"/>
    <w:pPr>
      <w:tabs>
        <w:tab w:val="center" w:pos="4680"/>
        <w:tab w:val="right" w:pos="9360"/>
      </w:tabs>
      <w:spacing w:after="0"/>
    </w:pPr>
  </w:style>
  <w:style w:type="character" w:customStyle="1" w:styleId="HeaderChar">
    <w:name w:val="Header Char"/>
    <w:basedOn w:val="DefaultParagraphFont"/>
    <w:link w:val="Header"/>
    <w:uiPriority w:val="99"/>
    <w:rsid w:val="00A417DC"/>
  </w:style>
  <w:style w:type="paragraph" w:customStyle="1" w:styleId="GITableTitleInformation">
    <w:name w:val="_GI_Table Title Information"/>
    <w:basedOn w:val="GITableTitleSubtitleFinancialInformation"/>
    <w:qFormat/>
    <w:rsid w:val="00145310"/>
    <w:rPr>
      <w:rFonts w:ascii="Futura MdCn BT" w:hAnsi="Futura MdCn BT"/>
      <w:color w:val="006A4D" w:themeColor="accent1"/>
      <w:sz w:val="22"/>
    </w:rPr>
  </w:style>
  <w:style w:type="paragraph" w:customStyle="1" w:styleId="GIBulletXX">
    <w:name w:val="_GI_Bullet X.X"/>
    <w:basedOn w:val="GIRFPNumberedList"/>
    <w:link w:val="GIBulletXXChar"/>
    <w:autoRedefine/>
    <w:qFormat/>
    <w:rsid w:val="00347E04"/>
    <w:pPr>
      <w:numPr>
        <w:numId w:val="13"/>
      </w:numPr>
      <w:spacing w:before="280" w:after="240" w:line="300" w:lineRule="exact"/>
      <w:jc w:val="both"/>
      <w:outlineLvl w:val="1"/>
    </w:pPr>
    <w:rPr>
      <w:rFonts w:ascii="Futura MdCn BT" w:eastAsia="Futura Bk BT" w:hAnsi="Futura MdCn BT" w:cstheme="minorHAnsi"/>
      <w:caps/>
      <w:color w:val="69BE28" w:themeColor="accent2"/>
      <w:sz w:val="28"/>
      <w:szCs w:val="28"/>
    </w:rPr>
  </w:style>
  <w:style w:type="character" w:customStyle="1" w:styleId="GIBulletXXChar">
    <w:name w:val="_GI_Bullet X.X Char"/>
    <w:basedOn w:val="DefaultParagraphFont"/>
    <w:link w:val="GIBulletXX"/>
    <w:rsid w:val="00347E04"/>
    <w:rPr>
      <w:rFonts w:ascii="Futura MdCn BT" w:eastAsia="Futura Bk BT" w:hAnsi="Futura MdCn BT" w:cstheme="minorHAnsi"/>
      <w:caps/>
      <w:color w:val="69BE28" w:themeColor="accent2"/>
      <w:sz w:val="28"/>
      <w:szCs w:val="28"/>
    </w:rPr>
  </w:style>
  <w:style w:type="paragraph" w:customStyle="1" w:styleId="GIBulletXXX">
    <w:name w:val="_GI_Bullet X.X.X"/>
    <w:basedOn w:val="GIRFPNumberedList"/>
    <w:next w:val="GIBulletXX"/>
    <w:link w:val="GIBulletXXXChar"/>
    <w:autoRedefine/>
    <w:qFormat/>
    <w:rsid w:val="00350FBA"/>
    <w:pPr>
      <w:numPr>
        <w:numId w:val="0"/>
      </w:numPr>
      <w:spacing w:before="240" w:after="240" w:line="300" w:lineRule="exact"/>
    </w:pPr>
    <w:rPr>
      <w:rFonts w:ascii="Futura MdCn BT" w:eastAsia="Futura Bk BT" w:hAnsi="Futura MdCn BT"/>
      <w:color w:val="auto"/>
      <w:sz w:val="22"/>
      <w:szCs w:val="22"/>
    </w:rPr>
  </w:style>
  <w:style w:type="character" w:customStyle="1" w:styleId="GIBulletXXXChar">
    <w:name w:val="_GI_Bullet X.X.X Char"/>
    <w:basedOn w:val="DefaultParagraphFont"/>
    <w:link w:val="GIBulletXXX"/>
    <w:rsid w:val="00350FBA"/>
    <w:rPr>
      <w:rFonts w:ascii="Futura MdCn BT" w:eastAsia="Futura Bk BT" w:hAnsi="Futura MdCn BT" w:cs="Futura Bk BT"/>
    </w:rPr>
  </w:style>
  <w:style w:type="paragraph" w:customStyle="1" w:styleId="GIBulletXXXX">
    <w:name w:val="_GI_Bullet X.X.X.X"/>
    <w:basedOn w:val="GIRFPNumberedList"/>
    <w:link w:val="GIBulletXXXXChar"/>
    <w:autoRedefine/>
    <w:qFormat/>
    <w:rsid w:val="00D366B5"/>
    <w:pPr>
      <w:numPr>
        <w:numId w:val="0"/>
      </w:numPr>
      <w:spacing w:after="0" w:line="240" w:lineRule="auto"/>
    </w:pPr>
    <w:rPr>
      <w:rFonts w:ascii="Futura Md BT" w:hAnsi="Futura Md BT"/>
      <w:color w:val="auto"/>
      <w:sz w:val="18"/>
      <w:szCs w:val="22"/>
    </w:rPr>
  </w:style>
  <w:style w:type="character" w:customStyle="1" w:styleId="GIBulletXXXXChar">
    <w:name w:val="_GI_Bullet X.X.X.X Char"/>
    <w:basedOn w:val="DefaultParagraphFont"/>
    <w:link w:val="GIBulletXXXX"/>
    <w:rsid w:val="00D366B5"/>
    <w:rPr>
      <w:rFonts w:ascii="Futura Md BT" w:hAnsi="Futura Md BT" w:cs="Futura Bk BT"/>
      <w:sz w:val="18"/>
    </w:rPr>
  </w:style>
  <w:style w:type="paragraph" w:styleId="Footer">
    <w:name w:val="footer"/>
    <w:basedOn w:val="Normal"/>
    <w:link w:val="FooterChar"/>
    <w:uiPriority w:val="99"/>
    <w:unhideWhenUsed/>
    <w:rsid w:val="0057276A"/>
    <w:pPr>
      <w:widowControl w:val="0"/>
      <w:tabs>
        <w:tab w:val="center" w:pos="4680"/>
        <w:tab w:val="right" w:pos="9360"/>
      </w:tabs>
      <w:spacing w:after="0"/>
    </w:pPr>
    <w:rPr>
      <w:rFonts w:eastAsiaTheme="minorHAnsi"/>
    </w:rPr>
  </w:style>
  <w:style w:type="character" w:customStyle="1" w:styleId="FooterChar">
    <w:name w:val="Footer Char"/>
    <w:basedOn w:val="DefaultParagraphFont"/>
    <w:link w:val="Footer"/>
    <w:uiPriority w:val="99"/>
    <w:rsid w:val="0057276A"/>
    <w:rPr>
      <w:rFonts w:eastAsiaTheme="minorHAnsi"/>
    </w:rPr>
  </w:style>
  <w:style w:type="character" w:customStyle="1" w:styleId="ScheduleText2Char">
    <w:name w:val="Schedule Text 2 Char"/>
    <w:link w:val="ScheduleText2"/>
    <w:locked/>
    <w:rsid w:val="0057276A"/>
    <w:rPr>
      <w:rFonts w:ascii="Times New Roman" w:eastAsia="PMingLiU" w:hAnsi="Times New Roman" w:cs="Times New Roman"/>
      <w:szCs w:val="24"/>
      <w:lang w:val="en-GB"/>
    </w:rPr>
  </w:style>
  <w:style w:type="paragraph" w:customStyle="1" w:styleId="ScheduleText2">
    <w:name w:val="Schedule Text 2"/>
    <w:basedOn w:val="Normal"/>
    <w:next w:val="Normal"/>
    <w:link w:val="ScheduleText2Char"/>
    <w:autoRedefine/>
    <w:rsid w:val="0057276A"/>
    <w:pPr>
      <w:overflowPunct w:val="0"/>
      <w:autoSpaceDE w:val="0"/>
      <w:autoSpaceDN w:val="0"/>
      <w:adjustRightInd w:val="0"/>
      <w:spacing w:after="240"/>
      <w:jc w:val="both"/>
    </w:pPr>
    <w:rPr>
      <w:rFonts w:ascii="Times New Roman" w:eastAsia="PMingLiU" w:hAnsi="Times New Roman" w:cs="Times New Roman"/>
      <w:szCs w:val="24"/>
      <w:lang w:val="en-GB"/>
    </w:rPr>
  </w:style>
  <w:style w:type="table" w:styleId="LightShading-Accent1">
    <w:name w:val="Light Shading Accent 1"/>
    <w:basedOn w:val="TableNormal"/>
    <w:uiPriority w:val="60"/>
    <w:rsid w:val="0057276A"/>
    <w:pPr>
      <w:spacing w:after="0" w:line="240" w:lineRule="auto"/>
    </w:pPr>
    <w:rPr>
      <w:color w:val="004F39" w:themeColor="accent1" w:themeShade="BF"/>
      <w:kern w:val="2"/>
      <w:sz w:val="24"/>
      <w:lang w:eastAsia="zh-TW"/>
    </w:rPr>
    <w:tblPr>
      <w:tblStyleRowBandSize w:val="1"/>
      <w:tblStyleColBandSize w:val="1"/>
      <w:tblBorders>
        <w:top w:val="single" w:sz="8" w:space="0" w:color="006A4D" w:themeColor="accent1"/>
        <w:bottom w:val="single" w:sz="8" w:space="0" w:color="006A4D" w:themeColor="accent1"/>
      </w:tblBorders>
    </w:tblPr>
    <w:tblStylePr w:type="firstRow">
      <w:pPr>
        <w:spacing w:before="0" w:after="0" w:line="240" w:lineRule="auto"/>
      </w:pPr>
      <w:rPr>
        <w:b/>
        <w:bCs/>
      </w:rPr>
      <w:tblPr/>
      <w:tcPr>
        <w:tcBorders>
          <w:top w:val="single" w:sz="8" w:space="0" w:color="006A4D" w:themeColor="accent1"/>
          <w:left w:val="nil"/>
          <w:bottom w:val="single" w:sz="8" w:space="0" w:color="006A4D" w:themeColor="accent1"/>
          <w:right w:val="nil"/>
          <w:insideH w:val="nil"/>
          <w:insideV w:val="nil"/>
        </w:tcBorders>
      </w:tcPr>
    </w:tblStylePr>
    <w:tblStylePr w:type="lastRow">
      <w:pPr>
        <w:spacing w:before="0" w:after="0" w:line="240" w:lineRule="auto"/>
      </w:pPr>
      <w:rPr>
        <w:b/>
        <w:bCs/>
      </w:rPr>
      <w:tblPr/>
      <w:tcPr>
        <w:tcBorders>
          <w:top w:val="single" w:sz="8" w:space="0" w:color="006A4D" w:themeColor="accent1"/>
          <w:left w:val="nil"/>
          <w:bottom w:val="single" w:sz="8" w:space="0" w:color="006A4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FFE3" w:themeFill="accent1" w:themeFillTint="3F"/>
      </w:tcPr>
    </w:tblStylePr>
    <w:tblStylePr w:type="band1Horz">
      <w:tblPr/>
      <w:tcPr>
        <w:tcBorders>
          <w:left w:val="nil"/>
          <w:right w:val="nil"/>
          <w:insideH w:val="nil"/>
          <w:insideV w:val="nil"/>
        </w:tcBorders>
        <w:shd w:val="clear" w:color="auto" w:fill="9BFFE3" w:themeFill="accent1" w:themeFillTint="3F"/>
      </w:tcPr>
    </w:tblStylePr>
  </w:style>
  <w:style w:type="character" w:customStyle="1" w:styleId="Heading2Char">
    <w:name w:val="Heading 2 Char"/>
    <w:basedOn w:val="DefaultParagraphFont"/>
    <w:link w:val="Heading2"/>
    <w:uiPriority w:val="9"/>
    <w:rsid w:val="0057276A"/>
    <w:rPr>
      <w:rFonts w:asciiTheme="majorHAnsi" w:eastAsiaTheme="majorEastAsia" w:hAnsiTheme="majorHAnsi" w:cstheme="majorBidi"/>
      <w:color w:val="004F39" w:themeColor="accent1" w:themeShade="BF"/>
      <w:sz w:val="26"/>
      <w:szCs w:val="26"/>
    </w:rPr>
  </w:style>
  <w:style w:type="character" w:customStyle="1" w:styleId="Heading3Char">
    <w:name w:val="Heading 3 Char"/>
    <w:basedOn w:val="DefaultParagraphFont"/>
    <w:link w:val="Heading3"/>
    <w:uiPriority w:val="9"/>
    <w:rsid w:val="0057276A"/>
    <w:rPr>
      <w:rFonts w:asciiTheme="majorHAnsi" w:eastAsiaTheme="majorEastAsia" w:hAnsiTheme="majorHAnsi" w:cstheme="majorBidi"/>
      <w:color w:val="003426" w:themeColor="accent1" w:themeShade="7F"/>
      <w:sz w:val="24"/>
      <w:szCs w:val="24"/>
    </w:rPr>
  </w:style>
  <w:style w:type="character" w:styleId="Emphasis">
    <w:name w:val="Emphasis"/>
    <w:basedOn w:val="DefaultParagraphFont"/>
    <w:uiPriority w:val="20"/>
    <w:qFormat/>
    <w:rsid w:val="00D5333C"/>
    <w:rPr>
      <w:i/>
      <w:iCs/>
    </w:rPr>
  </w:style>
  <w:style w:type="character" w:styleId="SubtleEmphasis">
    <w:name w:val="Subtle Emphasis"/>
    <w:basedOn w:val="DefaultParagraphFont"/>
    <w:uiPriority w:val="19"/>
    <w:rsid w:val="00D5333C"/>
    <w:rPr>
      <w:i/>
      <w:iCs/>
      <w:color w:val="404040" w:themeColor="text1" w:themeTint="BF"/>
    </w:rPr>
  </w:style>
  <w:style w:type="character" w:styleId="SubtleReference">
    <w:name w:val="Subtle Reference"/>
    <w:aliases w:val="Numbered list"/>
    <w:uiPriority w:val="31"/>
    <w:rsid w:val="007D2AA4"/>
    <w:rPr>
      <w:rFonts w:ascii="Futura MdCn BT" w:hAnsi="Futura MdCn BT"/>
      <w:caps w:val="0"/>
      <w:smallCaps w:val="0"/>
      <w:color w:val="5A5A5A" w:themeColor="text1" w:themeTint="A5"/>
      <w:sz w:val="22"/>
    </w:rPr>
  </w:style>
  <w:style w:type="paragraph" w:styleId="TOC2">
    <w:name w:val="toc 2"/>
    <w:basedOn w:val="Normal"/>
    <w:next w:val="Normal"/>
    <w:autoRedefine/>
    <w:uiPriority w:val="39"/>
    <w:unhideWhenUsed/>
    <w:rsid w:val="00F33CB1"/>
    <w:pPr>
      <w:tabs>
        <w:tab w:val="left" w:pos="544"/>
        <w:tab w:val="right" w:leader="dot" w:pos="10309"/>
      </w:tabs>
      <w:spacing w:after="0"/>
    </w:pPr>
    <w:rPr>
      <w:rFonts w:ascii="Futura Bk BT" w:hAnsi="Futura Bk BT"/>
      <w:bCs/>
      <w:caps/>
    </w:rPr>
  </w:style>
  <w:style w:type="paragraph" w:styleId="TOC4">
    <w:name w:val="toc 4"/>
    <w:basedOn w:val="Normal"/>
    <w:next w:val="Normal"/>
    <w:autoRedefine/>
    <w:uiPriority w:val="39"/>
    <w:unhideWhenUsed/>
    <w:rsid w:val="0033603A"/>
    <w:pPr>
      <w:spacing w:after="0"/>
    </w:pPr>
  </w:style>
  <w:style w:type="paragraph" w:styleId="TOC5">
    <w:name w:val="toc 5"/>
    <w:basedOn w:val="Normal"/>
    <w:next w:val="Normal"/>
    <w:autoRedefine/>
    <w:uiPriority w:val="39"/>
    <w:unhideWhenUsed/>
    <w:rsid w:val="0033603A"/>
    <w:pPr>
      <w:spacing w:after="0"/>
    </w:pPr>
  </w:style>
  <w:style w:type="paragraph" w:styleId="TOC6">
    <w:name w:val="toc 6"/>
    <w:basedOn w:val="Normal"/>
    <w:next w:val="Normal"/>
    <w:autoRedefine/>
    <w:uiPriority w:val="39"/>
    <w:unhideWhenUsed/>
    <w:rsid w:val="0033603A"/>
    <w:pPr>
      <w:spacing w:after="0"/>
    </w:pPr>
  </w:style>
  <w:style w:type="paragraph" w:styleId="TOC7">
    <w:name w:val="toc 7"/>
    <w:basedOn w:val="Normal"/>
    <w:next w:val="Normal"/>
    <w:autoRedefine/>
    <w:uiPriority w:val="39"/>
    <w:unhideWhenUsed/>
    <w:rsid w:val="0033603A"/>
    <w:pPr>
      <w:spacing w:after="0"/>
    </w:pPr>
  </w:style>
  <w:style w:type="paragraph" w:styleId="TOC8">
    <w:name w:val="toc 8"/>
    <w:basedOn w:val="Normal"/>
    <w:next w:val="Normal"/>
    <w:autoRedefine/>
    <w:uiPriority w:val="39"/>
    <w:unhideWhenUsed/>
    <w:rsid w:val="0033603A"/>
    <w:pPr>
      <w:spacing w:after="0"/>
    </w:pPr>
  </w:style>
  <w:style w:type="paragraph" w:styleId="TOC9">
    <w:name w:val="toc 9"/>
    <w:basedOn w:val="Normal"/>
    <w:next w:val="Normal"/>
    <w:autoRedefine/>
    <w:uiPriority w:val="39"/>
    <w:unhideWhenUsed/>
    <w:rsid w:val="0033603A"/>
    <w:pPr>
      <w:spacing w:after="0"/>
    </w:pPr>
  </w:style>
  <w:style w:type="character" w:styleId="UnresolvedMention">
    <w:name w:val="Unresolved Mention"/>
    <w:basedOn w:val="DefaultParagraphFont"/>
    <w:uiPriority w:val="99"/>
    <w:unhideWhenUsed/>
    <w:rsid w:val="00DA402E"/>
    <w:rPr>
      <w:color w:val="605E5C"/>
      <w:shd w:val="clear" w:color="auto" w:fill="E1DFDD"/>
    </w:rPr>
  </w:style>
  <w:style w:type="character" w:styleId="Mention">
    <w:name w:val="Mention"/>
    <w:basedOn w:val="DefaultParagraphFont"/>
    <w:uiPriority w:val="99"/>
    <w:unhideWhenUsed/>
    <w:rsid w:val="00DA402E"/>
    <w:rPr>
      <w:color w:val="2B579A"/>
      <w:shd w:val="clear" w:color="auto" w:fill="E1DFDD"/>
    </w:rPr>
  </w:style>
  <w:style w:type="paragraph" w:customStyle="1" w:styleId="Default">
    <w:name w:val="Default"/>
    <w:rsid w:val="00BA122D"/>
    <w:pPr>
      <w:autoSpaceDE w:val="0"/>
      <w:autoSpaceDN w:val="0"/>
      <w:adjustRightInd w:val="0"/>
      <w:spacing w:after="0" w:line="240" w:lineRule="auto"/>
    </w:pPr>
    <w:rPr>
      <w:rFonts w:ascii="Calibri" w:hAnsi="Calibri" w:cs="Calibri"/>
      <w:color w:val="000000"/>
      <w:sz w:val="24"/>
      <w:szCs w:val="24"/>
      <w:lang w:val="en-GB"/>
    </w:rPr>
  </w:style>
  <w:style w:type="character" w:customStyle="1" w:styleId="ListParagraphChar">
    <w:name w:val="List Paragraph Char"/>
    <w:aliases w:val="Paragraphe de liste Char"/>
    <w:basedOn w:val="DefaultParagraphFont"/>
    <w:link w:val="ListParagraph"/>
    <w:uiPriority w:val="34"/>
    <w:rsid w:val="00015F5C"/>
    <w:rPr>
      <w:sz w:val="19"/>
      <w:szCs w:val="19"/>
    </w:rPr>
  </w:style>
  <w:style w:type="paragraph" w:styleId="FootnoteText">
    <w:name w:val="footnote text"/>
    <w:basedOn w:val="Normal"/>
    <w:link w:val="FootnoteTextChar"/>
    <w:uiPriority w:val="99"/>
    <w:semiHidden/>
    <w:unhideWhenUsed/>
    <w:rsid w:val="00E45C0B"/>
    <w:pPr>
      <w:spacing w:before="0" w:after="0"/>
      <w:ind w:left="0"/>
    </w:pPr>
    <w:rPr>
      <w:sz w:val="20"/>
      <w:szCs w:val="20"/>
    </w:rPr>
  </w:style>
  <w:style w:type="character" w:customStyle="1" w:styleId="FootnoteTextChar">
    <w:name w:val="Footnote Text Char"/>
    <w:basedOn w:val="DefaultParagraphFont"/>
    <w:link w:val="FootnoteText"/>
    <w:uiPriority w:val="99"/>
    <w:semiHidden/>
    <w:rsid w:val="00E45C0B"/>
    <w:rPr>
      <w:sz w:val="20"/>
      <w:szCs w:val="20"/>
    </w:rPr>
  </w:style>
  <w:style w:type="character" w:styleId="FootnoteReference">
    <w:name w:val="footnote reference"/>
    <w:basedOn w:val="DefaultParagraphFont"/>
    <w:uiPriority w:val="99"/>
    <w:semiHidden/>
    <w:unhideWhenUsed/>
    <w:rsid w:val="00E45C0B"/>
    <w:rPr>
      <w:vertAlign w:val="superscript"/>
    </w:rPr>
  </w:style>
  <w:style w:type="paragraph" w:customStyle="1" w:styleId="GIHeader2Blue">
    <w:name w:val="_GI_Header 2 Blue"/>
    <w:basedOn w:val="GIHeader2"/>
    <w:qFormat/>
    <w:rsid w:val="00310084"/>
    <w:rPr>
      <w:color w:val="00559F" w:themeColor="accent5"/>
    </w:rPr>
  </w:style>
  <w:style w:type="character" w:customStyle="1" w:styleId="normaltextrun">
    <w:name w:val="normaltextrun"/>
    <w:basedOn w:val="DefaultParagraphFont"/>
    <w:rsid w:val="0063173F"/>
  </w:style>
  <w:style w:type="paragraph" w:styleId="Caption">
    <w:name w:val="caption"/>
    <w:basedOn w:val="Normal"/>
    <w:next w:val="Normal"/>
    <w:uiPriority w:val="35"/>
    <w:unhideWhenUsed/>
    <w:qFormat/>
    <w:rsid w:val="00E40AED"/>
    <w:pPr>
      <w:spacing w:before="0" w:after="200"/>
      <w:ind w:left="0"/>
    </w:pPr>
    <w:rPr>
      <w:rFonts w:ascii="Futura Lt BT" w:hAnsi="Futura Lt BT"/>
      <w:i/>
      <w:iCs/>
      <w:color w:val="7F7F7F" w:themeColor="text2"/>
      <w:sz w:val="18"/>
      <w:szCs w:val="18"/>
    </w:rPr>
  </w:style>
  <w:style w:type="character" w:customStyle="1" w:styleId="eop">
    <w:name w:val="eop"/>
    <w:basedOn w:val="DefaultParagraphFont"/>
    <w:rsid w:val="00116912"/>
  </w:style>
  <w:style w:type="character" w:styleId="FollowedHyperlink">
    <w:name w:val="FollowedHyperlink"/>
    <w:basedOn w:val="DefaultParagraphFont"/>
    <w:uiPriority w:val="99"/>
    <w:semiHidden/>
    <w:unhideWhenUsed/>
    <w:rsid w:val="00295D37"/>
    <w:rPr>
      <w:color w:val="69BE28" w:themeColor="followedHyperlink"/>
      <w:u w:val="single"/>
    </w:rPr>
  </w:style>
  <w:style w:type="paragraph" w:styleId="BodyText">
    <w:name w:val="Body Text"/>
    <w:basedOn w:val="Normal"/>
    <w:link w:val="BodyTextChar"/>
    <w:uiPriority w:val="99"/>
    <w:unhideWhenUsed/>
    <w:rsid w:val="001807F4"/>
    <w:pPr>
      <w:spacing w:before="0" w:line="276" w:lineRule="auto"/>
      <w:ind w:left="0"/>
    </w:pPr>
    <w:rPr>
      <w:rFonts w:ascii="Futura Lt BT" w:hAnsi="Futura Lt BT"/>
      <w:sz w:val="20"/>
      <w:szCs w:val="22"/>
    </w:rPr>
  </w:style>
  <w:style w:type="character" w:customStyle="1" w:styleId="BodyTextChar">
    <w:name w:val="Body Text Char"/>
    <w:basedOn w:val="DefaultParagraphFont"/>
    <w:link w:val="BodyText"/>
    <w:uiPriority w:val="99"/>
    <w:rsid w:val="001807F4"/>
    <w:rPr>
      <w:rFonts w:ascii="Futura Lt BT" w:hAnsi="Futura Lt BT"/>
      <w:sz w:val="20"/>
    </w:rPr>
  </w:style>
  <w:style w:type="paragraph" w:customStyle="1" w:styleId="paragraph">
    <w:name w:val="paragraph"/>
    <w:basedOn w:val="Normal"/>
    <w:rsid w:val="004D4580"/>
    <w:pPr>
      <w:spacing w:before="100" w:beforeAutospacing="1" w:after="100" w:afterAutospacing="1"/>
      <w:ind w:left="0"/>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490EFC"/>
    <w:pPr>
      <w:spacing w:after="0" w:line="240" w:lineRule="auto"/>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79751">
      <w:bodyDiv w:val="1"/>
      <w:marLeft w:val="0"/>
      <w:marRight w:val="0"/>
      <w:marTop w:val="0"/>
      <w:marBottom w:val="0"/>
      <w:divBdr>
        <w:top w:val="none" w:sz="0" w:space="0" w:color="auto"/>
        <w:left w:val="none" w:sz="0" w:space="0" w:color="auto"/>
        <w:bottom w:val="none" w:sz="0" w:space="0" w:color="auto"/>
        <w:right w:val="none" w:sz="0" w:space="0" w:color="auto"/>
      </w:divBdr>
    </w:div>
    <w:div w:id="169949460">
      <w:bodyDiv w:val="1"/>
      <w:marLeft w:val="0"/>
      <w:marRight w:val="0"/>
      <w:marTop w:val="0"/>
      <w:marBottom w:val="0"/>
      <w:divBdr>
        <w:top w:val="none" w:sz="0" w:space="0" w:color="auto"/>
        <w:left w:val="none" w:sz="0" w:space="0" w:color="auto"/>
        <w:bottom w:val="none" w:sz="0" w:space="0" w:color="auto"/>
        <w:right w:val="none" w:sz="0" w:space="0" w:color="auto"/>
      </w:divBdr>
    </w:div>
    <w:div w:id="216867460">
      <w:bodyDiv w:val="1"/>
      <w:marLeft w:val="0"/>
      <w:marRight w:val="0"/>
      <w:marTop w:val="0"/>
      <w:marBottom w:val="0"/>
      <w:divBdr>
        <w:top w:val="none" w:sz="0" w:space="0" w:color="auto"/>
        <w:left w:val="none" w:sz="0" w:space="0" w:color="auto"/>
        <w:bottom w:val="none" w:sz="0" w:space="0" w:color="auto"/>
        <w:right w:val="none" w:sz="0" w:space="0" w:color="auto"/>
      </w:divBdr>
    </w:div>
    <w:div w:id="236786014">
      <w:bodyDiv w:val="1"/>
      <w:marLeft w:val="0"/>
      <w:marRight w:val="0"/>
      <w:marTop w:val="0"/>
      <w:marBottom w:val="0"/>
      <w:divBdr>
        <w:top w:val="none" w:sz="0" w:space="0" w:color="auto"/>
        <w:left w:val="none" w:sz="0" w:space="0" w:color="auto"/>
        <w:bottom w:val="none" w:sz="0" w:space="0" w:color="auto"/>
        <w:right w:val="none" w:sz="0" w:space="0" w:color="auto"/>
      </w:divBdr>
    </w:div>
    <w:div w:id="346636543">
      <w:bodyDiv w:val="1"/>
      <w:marLeft w:val="0"/>
      <w:marRight w:val="0"/>
      <w:marTop w:val="0"/>
      <w:marBottom w:val="0"/>
      <w:divBdr>
        <w:top w:val="none" w:sz="0" w:space="0" w:color="auto"/>
        <w:left w:val="none" w:sz="0" w:space="0" w:color="auto"/>
        <w:bottom w:val="none" w:sz="0" w:space="0" w:color="auto"/>
        <w:right w:val="none" w:sz="0" w:space="0" w:color="auto"/>
      </w:divBdr>
    </w:div>
    <w:div w:id="360479841">
      <w:bodyDiv w:val="1"/>
      <w:marLeft w:val="0"/>
      <w:marRight w:val="0"/>
      <w:marTop w:val="0"/>
      <w:marBottom w:val="0"/>
      <w:divBdr>
        <w:top w:val="none" w:sz="0" w:space="0" w:color="auto"/>
        <w:left w:val="none" w:sz="0" w:space="0" w:color="auto"/>
        <w:bottom w:val="none" w:sz="0" w:space="0" w:color="auto"/>
        <w:right w:val="none" w:sz="0" w:space="0" w:color="auto"/>
      </w:divBdr>
    </w:div>
    <w:div w:id="444034706">
      <w:bodyDiv w:val="1"/>
      <w:marLeft w:val="0"/>
      <w:marRight w:val="0"/>
      <w:marTop w:val="0"/>
      <w:marBottom w:val="0"/>
      <w:divBdr>
        <w:top w:val="none" w:sz="0" w:space="0" w:color="auto"/>
        <w:left w:val="none" w:sz="0" w:space="0" w:color="auto"/>
        <w:bottom w:val="none" w:sz="0" w:space="0" w:color="auto"/>
        <w:right w:val="none" w:sz="0" w:space="0" w:color="auto"/>
      </w:divBdr>
    </w:div>
    <w:div w:id="632713928">
      <w:bodyDiv w:val="1"/>
      <w:marLeft w:val="0"/>
      <w:marRight w:val="0"/>
      <w:marTop w:val="0"/>
      <w:marBottom w:val="0"/>
      <w:divBdr>
        <w:top w:val="none" w:sz="0" w:space="0" w:color="auto"/>
        <w:left w:val="none" w:sz="0" w:space="0" w:color="auto"/>
        <w:bottom w:val="none" w:sz="0" w:space="0" w:color="auto"/>
        <w:right w:val="none" w:sz="0" w:space="0" w:color="auto"/>
      </w:divBdr>
      <w:divsChild>
        <w:div w:id="29259584">
          <w:marLeft w:val="187"/>
          <w:marRight w:val="0"/>
          <w:marTop w:val="120"/>
          <w:marBottom w:val="0"/>
          <w:divBdr>
            <w:top w:val="none" w:sz="0" w:space="0" w:color="auto"/>
            <w:left w:val="none" w:sz="0" w:space="0" w:color="auto"/>
            <w:bottom w:val="none" w:sz="0" w:space="0" w:color="auto"/>
            <w:right w:val="none" w:sz="0" w:space="0" w:color="auto"/>
          </w:divBdr>
        </w:div>
        <w:div w:id="45884433">
          <w:marLeft w:val="187"/>
          <w:marRight w:val="0"/>
          <w:marTop w:val="120"/>
          <w:marBottom w:val="0"/>
          <w:divBdr>
            <w:top w:val="none" w:sz="0" w:space="0" w:color="auto"/>
            <w:left w:val="none" w:sz="0" w:space="0" w:color="auto"/>
            <w:bottom w:val="none" w:sz="0" w:space="0" w:color="auto"/>
            <w:right w:val="none" w:sz="0" w:space="0" w:color="auto"/>
          </w:divBdr>
        </w:div>
        <w:div w:id="64498242">
          <w:marLeft w:val="187"/>
          <w:marRight w:val="0"/>
          <w:marTop w:val="120"/>
          <w:marBottom w:val="0"/>
          <w:divBdr>
            <w:top w:val="none" w:sz="0" w:space="0" w:color="auto"/>
            <w:left w:val="none" w:sz="0" w:space="0" w:color="auto"/>
            <w:bottom w:val="none" w:sz="0" w:space="0" w:color="auto"/>
            <w:right w:val="none" w:sz="0" w:space="0" w:color="auto"/>
          </w:divBdr>
        </w:div>
        <w:div w:id="125323124">
          <w:marLeft w:val="187"/>
          <w:marRight w:val="0"/>
          <w:marTop w:val="120"/>
          <w:marBottom w:val="0"/>
          <w:divBdr>
            <w:top w:val="none" w:sz="0" w:space="0" w:color="auto"/>
            <w:left w:val="none" w:sz="0" w:space="0" w:color="auto"/>
            <w:bottom w:val="none" w:sz="0" w:space="0" w:color="auto"/>
            <w:right w:val="none" w:sz="0" w:space="0" w:color="auto"/>
          </w:divBdr>
        </w:div>
        <w:div w:id="323825589">
          <w:marLeft w:val="187"/>
          <w:marRight w:val="0"/>
          <w:marTop w:val="120"/>
          <w:marBottom w:val="0"/>
          <w:divBdr>
            <w:top w:val="none" w:sz="0" w:space="0" w:color="auto"/>
            <w:left w:val="none" w:sz="0" w:space="0" w:color="auto"/>
            <w:bottom w:val="none" w:sz="0" w:space="0" w:color="auto"/>
            <w:right w:val="none" w:sz="0" w:space="0" w:color="auto"/>
          </w:divBdr>
        </w:div>
        <w:div w:id="324892785">
          <w:marLeft w:val="187"/>
          <w:marRight w:val="0"/>
          <w:marTop w:val="120"/>
          <w:marBottom w:val="0"/>
          <w:divBdr>
            <w:top w:val="none" w:sz="0" w:space="0" w:color="auto"/>
            <w:left w:val="none" w:sz="0" w:space="0" w:color="auto"/>
            <w:bottom w:val="none" w:sz="0" w:space="0" w:color="auto"/>
            <w:right w:val="none" w:sz="0" w:space="0" w:color="auto"/>
          </w:divBdr>
        </w:div>
        <w:div w:id="342709576">
          <w:marLeft w:val="418"/>
          <w:marRight w:val="0"/>
          <w:marTop w:val="120"/>
          <w:marBottom w:val="0"/>
          <w:divBdr>
            <w:top w:val="none" w:sz="0" w:space="0" w:color="auto"/>
            <w:left w:val="none" w:sz="0" w:space="0" w:color="auto"/>
            <w:bottom w:val="none" w:sz="0" w:space="0" w:color="auto"/>
            <w:right w:val="none" w:sz="0" w:space="0" w:color="auto"/>
          </w:divBdr>
        </w:div>
        <w:div w:id="344596891">
          <w:marLeft w:val="187"/>
          <w:marRight w:val="0"/>
          <w:marTop w:val="120"/>
          <w:marBottom w:val="0"/>
          <w:divBdr>
            <w:top w:val="none" w:sz="0" w:space="0" w:color="auto"/>
            <w:left w:val="none" w:sz="0" w:space="0" w:color="auto"/>
            <w:bottom w:val="none" w:sz="0" w:space="0" w:color="auto"/>
            <w:right w:val="none" w:sz="0" w:space="0" w:color="auto"/>
          </w:divBdr>
        </w:div>
        <w:div w:id="401294437">
          <w:marLeft w:val="187"/>
          <w:marRight w:val="0"/>
          <w:marTop w:val="120"/>
          <w:marBottom w:val="0"/>
          <w:divBdr>
            <w:top w:val="none" w:sz="0" w:space="0" w:color="auto"/>
            <w:left w:val="none" w:sz="0" w:space="0" w:color="auto"/>
            <w:bottom w:val="none" w:sz="0" w:space="0" w:color="auto"/>
            <w:right w:val="none" w:sz="0" w:space="0" w:color="auto"/>
          </w:divBdr>
        </w:div>
        <w:div w:id="446700169">
          <w:marLeft w:val="187"/>
          <w:marRight w:val="0"/>
          <w:marTop w:val="120"/>
          <w:marBottom w:val="0"/>
          <w:divBdr>
            <w:top w:val="none" w:sz="0" w:space="0" w:color="auto"/>
            <w:left w:val="none" w:sz="0" w:space="0" w:color="auto"/>
            <w:bottom w:val="none" w:sz="0" w:space="0" w:color="auto"/>
            <w:right w:val="none" w:sz="0" w:space="0" w:color="auto"/>
          </w:divBdr>
        </w:div>
        <w:div w:id="456025245">
          <w:marLeft w:val="187"/>
          <w:marRight w:val="0"/>
          <w:marTop w:val="120"/>
          <w:marBottom w:val="0"/>
          <w:divBdr>
            <w:top w:val="none" w:sz="0" w:space="0" w:color="auto"/>
            <w:left w:val="none" w:sz="0" w:space="0" w:color="auto"/>
            <w:bottom w:val="none" w:sz="0" w:space="0" w:color="auto"/>
            <w:right w:val="none" w:sz="0" w:space="0" w:color="auto"/>
          </w:divBdr>
        </w:div>
        <w:div w:id="469441309">
          <w:marLeft w:val="187"/>
          <w:marRight w:val="0"/>
          <w:marTop w:val="120"/>
          <w:marBottom w:val="0"/>
          <w:divBdr>
            <w:top w:val="none" w:sz="0" w:space="0" w:color="auto"/>
            <w:left w:val="none" w:sz="0" w:space="0" w:color="auto"/>
            <w:bottom w:val="none" w:sz="0" w:space="0" w:color="auto"/>
            <w:right w:val="none" w:sz="0" w:space="0" w:color="auto"/>
          </w:divBdr>
        </w:div>
        <w:div w:id="564528527">
          <w:marLeft w:val="418"/>
          <w:marRight w:val="0"/>
          <w:marTop w:val="120"/>
          <w:marBottom w:val="0"/>
          <w:divBdr>
            <w:top w:val="none" w:sz="0" w:space="0" w:color="auto"/>
            <w:left w:val="none" w:sz="0" w:space="0" w:color="auto"/>
            <w:bottom w:val="none" w:sz="0" w:space="0" w:color="auto"/>
            <w:right w:val="none" w:sz="0" w:space="0" w:color="auto"/>
          </w:divBdr>
        </w:div>
        <w:div w:id="688531064">
          <w:marLeft w:val="187"/>
          <w:marRight w:val="0"/>
          <w:marTop w:val="120"/>
          <w:marBottom w:val="0"/>
          <w:divBdr>
            <w:top w:val="none" w:sz="0" w:space="0" w:color="auto"/>
            <w:left w:val="none" w:sz="0" w:space="0" w:color="auto"/>
            <w:bottom w:val="none" w:sz="0" w:space="0" w:color="auto"/>
            <w:right w:val="none" w:sz="0" w:space="0" w:color="auto"/>
          </w:divBdr>
        </w:div>
        <w:div w:id="805896299">
          <w:marLeft w:val="144"/>
          <w:marRight w:val="0"/>
          <w:marTop w:val="120"/>
          <w:marBottom w:val="0"/>
          <w:divBdr>
            <w:top w:val="none" w:sz="0" w:space="0" w:color="auto"/>
            <w:left w:val="none" w:sz="0" w:space="0" w:color="auto"/>
            <w:bottom w:val="none" w:sz="0" w:space="0" w:color="auto"/>
            <w:right w:val="none" w:sz="0" w:space="0" w:color="auto"/>
          </w:divBdr>
        </w:div>
        <w:div w:id="813717236">
          <w:marLeft w:val="187"/>
          <w:marRight w:val="0"/>
          <w:marTop w:val="120"/>
          <w:marBottom w:val="0"/>
          <w:divBdr>
            <w:top w:val="none" w:sz="0" w:space="0" w:color="auto"/>
            <w:left w:val="none" w:sz="0" w:space="0" w:color="auto"/>
            <w:bottom w:val="none" w:sz="0" w:space="0" w:color="auto"/>
            <w:right w:val="none" w:sz="0" w:space="0" w:color="auto"/>
          </w:divBdr>
        </w:div>
        <w:div w:id="938871557">
          <w:marLeft w:val="418"/>
          <w:marRight w:val="0"/>
          <w:marTop w:val="120"/>
          <w:marBottom w:val="0"/>
          <w:divBdr>
            <w:top w:val="none" w:sz="0" w:space="0" w:color="auto"/>
            <w:left w:val="none" w:sz="0" w:space="0" w:color="auto"/>
            <w:bottom w:val="none" w:sz="0" w:space="0" w:color="auto"/>
            <w:right w:val="none" w:sz="0" w:space="0" w:color="auto"/>
          </w:divBdr>
        </w:div>
        <w:div w:id="962468972">
          <w:marLeft w:val="187"/>
          <w:marRight w:val="0"/>
          <w:marTop w:val="120"/>
          <w:marBottom w:val="0"/>
          <w:divBdr>
            <w:top w:val="none" w:sz="0" w:space="0" w:color="auto"/>
            <w:left w:val="none" w:sz="0" w:space="0" w:color="auto"/>
            <w:bottom w:val="none" w:sz="0" w:space="0" w:color="auto"/>
            <w:right w:val="none" w:sz="0" w:space="0" w:color="auto"/>
          </w:divBdr>
        </w:div>
        <w:div w:id="1057316336">
          <w:marLeft w:val="187"/>
          <w:marRight w:val="0"/>
          <w:marTop w:val="120"/>
          <w:marBottom w:val="0"/>
          <w:divBdr>
            <w:top w:val="none" w:sz="0" w:space="0" w:color="auto"/>
            <w:left w:val="none" w:sz="0" w:space="0" w:color="auto"/>
            <w:bottom w:val="none" w:sz="0" w:space="0" w:color="auto"/>
            <w:right w:val="none" w:sz="0" w:space="0" w:color="auto"/>
          </w:divBdr>
        </w:div>
        <w:div w:id="1284271925">
          <w:marLeft w:val="187"/>
          <w:marRight w:val="0"/>
          <w:marTop w:val="120"/>
          <w:marBottom w:val="0"/>
          <w:divBdr>
            <w:top w:val="none" w:sz="0" w:space="0" w:color="auto"/>
            <w:left w:val="none" w:sz="0" w:space="0" w:color="auto"/>
            <w:bottom w:val="none" w:sz="0" w:space="0" w:color="auto"/>
            <w:right w:val="none" w:sz="0" w:space="0" w:color="auto"/>
          </w:divBdr>
        </w:div>
        <w:div w:id="1444959837">
          <w:marLeft w:val="144"/>
          <w:marRight w:val="0"/>
          <w:marTop w:val="120"/>
          <w:marBottom w:val="0"/>
          <w:divBdr>
            <w:top w:val="none" w:sz="0" w:space="0" w:color="auto"/>
            <w:left w:val="none" w:sz="0" w:space="0" w:color="auto"/>
            <w:bottom w:val="none" w:sz="0" w:space="0" w:color="auto"/>
            <w:right w:val="none" w:sz="0" w:space="0" w:color="auto"/>
          </w:divBdr>
        </w:div>
        <w:div w:id="1450976520">
          <w:marLeft w:val="187"/>
          <w:marRight w:val="0"/>
          <w:marTop w:val="120"/>
          <w:marBottom w:val="0"/>
          <w:divBdr>
            <w:top w:val="none" w:sz="0" w:space="0" w:color="auto"/>
            <w:left w:val="none" w:sz="0" w:space="0" w:color="auto"/>
            <w:bottom w:val="none" w:sz="0" w:space="0" w:color="auto"/>
            <w:right w:val="none" w:sz="0" w:space="0" w:color="auto"/>
          </w:divBdr>
        </w:div>
        <w:div w:id="1624116995">
          <w:marLeft w:val="187"/>
          <w:marRight w:val="0"/>
          <w:marTop w:val="120"/>
          <w:marBottom w:val="0"/>
          <w:divBdr>
            <w:top w:val="none" w:sz="0" w:space="0" w:color="auto"/>
            <w:left w:val="none" w:sz="0" w:space="0" w:color="auto"/>
            <w:bottom w:val="none" w:sz="0" w:space="0" w:color="auto"/>
            <w:right w:val="none" w:sz="0" w:space="0" w:color="auto"/>
          </w:divBdr>
        </w:div>
        <w:div w:id="1650357524">
          <w:marLeft w:val="418"/>
          <w:marRight w:val="0"/>
          <w:marTop w:val="120"/>
          <w:marBottom w:val="0"/>
          <w:divBdr>
            <w:top w:val="none" w:sz="0" w:space="0" w:color="auto"/>
            <w:left w:val="none" w:sz="0" w:space="0" w:color="auto"/>
            <w:bottom w:val="none" w:sz="0" w:space="0" w:color="auto"/>
            <w:right w:val="none" w:sz="0" w:space="0" w:color="auto"/>
          </w:divBdr>
        </w:div>
        <w:div w:id="1720133506">
          <w:marLeft w:val="187"/>
          <w:marRight w:val="0"/>
          <w:marTop w:val="120"/>
          <w:marBottom w:val="0"/>
          <w:divBdr>
            <w:top w:val="none" w:sz="0" w:space="0" w:color="auto"/>
            <w:left w:val="none" w:sz="0" w:space="0" w:color="auto"/>
            <w:bottom w:val="none" w:sz="0" w:space="0" w:color="auto"/>
            <w:right w:val="none" w:sz="0" w:space="0" w:color="auto"/>
          </w:divBdr>
        </w:div>
        <w:div w:id="1839422377">
          <w:marLeft w:val="418"/>
          <w:marRight w:val="0"/>
          <w:marTop w:val="120"/>
          <w:marBottom w:val="0"/>
          <w:divBdr>
            <w:top w:val="none" w:sz="0" w:space="0" w:color="auto"/>
            <w:left w:val="none" w:sz="0" w:space="0" w:color="auto"/>
            <w:bottom w:val="none" w:sz="0" w:space="0" w:color="auto"/>
            <w:right w:val="none" w:sz="0" w:space="0" w:color="auto"/>
          </w:divBdr>
        </w:div>
        <w:div w:id="1848326813">
          <w:marLeft w:val="187"/>
          <w:marRight w:val="0"/>
          <w:marTop w:val="120"/>
          <w:marBottom w:val="0"/>
          <w:divBdr>
            <w:top w:val="none" w:sz="0" w:space="0" w:color="auto"/>
            <w:left w:val="none" w:sz="0" w:space="0" w:color="auto"/>
            <w:bottom w:val="none" w:sz="0" w:space="0" w:color="auto"/>
            <w:right w:val="none" w:sz="0" w:space="0" w:color="auto"/>
          </w:divBdr>
        </w:div>
        <w:div w:id="1850631908">
          <w:marLeft w:val="187"/>
          <w:marRight w:val="0"/>
          <w:marTop w:val="120"/>
          <w:marBottom w:val="0"/>
          <w:divBdr>
            <w:top w:val="none" w:sz="0" w:space="0" w:color="auto"/>
            <w:left w:val="none" w:sz="0" w:space="0" w:color="auto"/>
            <w:bottom w:val="none" w:sz="0" w:space="0" w:color="auto"/>
            <w:right w:val="none" w:sz="0" w:space="0" w:color="auto"/>
          </w:divBdr>
        </w:div>
        <w:div w:id="1856653434">
          <w:marLeft w:val="274"/>
          <w:marRight w:val="0"/>
          <w:marTop w:val="120"/>
          <w:marBottom w:val="0"/>
          <w:divBdr>
            <w:top w:val="none" w:sz="0" w:space="0" w:color="auto"/>
            <w:left w:val="none" w:sz="0" w:space="0" w:color="auto"/>
            <w:bottom w:val="none" w:sz="0" w:space="0" w:color="auto"/>
            <w:right w:val="none" w:sz="0" w:space="0" w:color="auto"/>
          </w:divBdr>
        </w:div>
        <w:div w:id="1928423923">
          <w:marLeft w:val="187"/>
          <w:marRight w:val="0"/>
          <w:marTop w:val="120"/>
          <w:marBottom w:val="0"/>
          <w:divBdr>
            <w:top w:val="none" w:sz="0" w:space="0" w:color="auto"/>
            <w:left w:val="none" w:sz="0" w:space="0" w:color="auto"/>
            <w:bottom w:val="none" w:sz="0" w:space="0" w:color="auto"/>
            <w:right w:val="none" w:sz="0" w:space="0" w:color="auto"/>
          </w:divBdr>
        </w:div>
        <w:div w:id="1976520966">
          <w:marLeft w:val="187"/>
          <w:marRight w:val="0"/>
          <w:marTop w:val="120"/>
          <w:marBottom w:val="0"/>
          <w:divBdr>
            <w:top w:val="none" w:sz="0" w:space="0" w:color="auto"/>
            <w:left w:val="none" w:sz="0" w:space="0" w:color="auto"/>
            <w:bottom w:val="none" w:sz="0" w:space="0" w:color="auto"/>
            <w:right w:val="none" w:sz="0" w:space="0" w:color="auto"/>
          </w:divBdr>
        </w:div>
        <w:div w:id="2004043406">
          <w:marLeft w:val="187"/>
          <w:marRight w:val="0"/>
          <w:marTop w:val="120"/>
          <w:marBottom w:val="0"/>
          <w:divBdr>
            <w:top w:val="none" w:sz="0" w:space="0" w:color="auto"/>
            <w:left w:val="none" w:sz="0" w:space="0" w:color="auto"/>
            <w:bottom w:val="none" w:sz="0" w:space="0" w:color="auto"/>
            <w:right w:val="none" w:sz="0" w:space="0" w:color="auto"/>
          </w:divBdr>
        </w:div>
        <w:div w:id="2052267869">
          <w:marLeft w:val="418"/>
          <w:marRight w:val="0"/>
          <w:marTop w:val="120"/>
          <w:marBottom w:val="0"/>
          <w:divBdr>
            <w:top w:val="none" w:sz="0" w:space="0" w:color="auto"/>
            <w:left w:val="none" w:sz="0" w:space="0" w:color="auto"/>
            <w:bottom w:val="none" w:sz="0" w:space="0" w:color="auto"/>
            <w:right w:val="none" w:sz="0" w:space="0" w:color="auto"/>
          </w:divBdr>
        </w:div>
        <w:div w:id="2105149241">
          <w:marLeft w:val="418"/>
          <w:marRight w:val="0"/>
          <w:marTop w:val="120"/>
          <w:marBottom w:val="0"/>
          <w:divBdr>
            <w:top w:val="none" w:sz="0" w:space="0" w:color="auto"/>
            <w:left w:val="none" w:sz="0" w:space="0" w:color="auto"/>
            <w:bottom w:val="none" w:sz="0" w:space="0" w:color="auto"/>
            <w:right w:val="none" w:sz="0" w:space="0" w:color="auto"/>
          </w:divBdr>
        </w:div>
        <w:div w:id="2124107651">
          <w:marLeft w:val="274"/>
          <w:marRight w:val="0"/>
          <w:marTop w:val="120"/>
          <w:marBottom w:val="0"/>
          <w:divBdr>
            <w:top w:val="none" w:sz="0" w:space="0" w:color="auto"/>
            <w:left w:val="none" w:sz="0" w:space="0" w:color="auto"/>
            <w:bottom w:val="none" w:sz="0" w:space="0" w:color="auto"/>
            <w:right w:val="none" w:sz="0" w:space="0" w:color="auto"/>
          </w:divBdr>
        </w:div>
      </w:divsChild>
    </w:div>
    <w:div w:id="699015519">
      <w:bodyDiv w:val="1"/>
      <w:marLeft w:val="0"/>
      <w:marRight w:val="0"/>
      <w:marTop w:val="0"/>
      <w:marBottom w:val="0"/>
      <w:divBdr>
        <w:top w:val="none" w:sz="0" w:space="0" w:color="auto"/>
        <w:left w:val="none" w:sz="0" w:space="0" w:color="auto"/>
        <w:bottom w:val="none" w:sz="0" w:space="0" w:color="auto"/>
        <w:right w:val="none" w:sz="0" w:space="0" w:color="auto"/>
      </w:divBdr>
    </w:div>
    <w:div w:id="717707500">
      <w:bodyDiv w:val="1"/>
      <w:marLeft w:val="0"/>
      <w:marRight w:val="0"/>
      <w:marTop w:val="0"/>
      <w:marBottom w:val="0"/>
      <w:divBdr>
        <w:top w:val="none" w:sz="0" w:space="0" w:color="auto"/>
        <w:left w:val="none" w:sz="0" w:space="0" w:color="auto"/>
        <w:bottom w:val="none" w:sz="0" w:space="0" w:color="auto"/>
        <w:right w:val="none" w:sz="0" w:space="0" w:color="auto"/>
      </w:divBdr>
    </w:div>
    <w:div w:id="764612652">
      <w:bodyDiv w:val="1"/>
      <w:marLeft w:val="0"/>
      <w:marRight w:val="0"/>
      <w:marTop w:val="0"/>
      <w:marBottom w:val="0"/>
      <w:divBdr>
        <w:top w:val="none" w:sz="0" w:space="0" w:color="auto"/>
        <w:left w:val="none" w:sz="0" w:space="0" w:color="auto"/>
        <w:bottom w:val="none" w:sz="0" w:space="0" w:color="auto"/>
        <w:right w:val="none" w:sz="0" w:space="0" w:color="auto"/>
      </w:divBdr>
    </w:div>
    <w:div w:id="807281639">
      <w:bodyDiv w:val="1"/>
      <w:marLeft w:val="0"/>
      <w:marRight w:val="0"/>
      <w:marTop w:val="0"/>
      <w:marBottom w:val="0"/>
      <w:divBdr>
        <w:top w:val="none" w:sz="0" w:space="0" w:color="auto"/>
        <w:left w:val="none" w:sz="0" w:space="0" w:color="auto"/>
        <w:bottom w:val="none" w:sz="0" w:space="0" w:color="auto"/>
        <w:right w:val="none" w:sz="0" w:space="0" w:color="auto"/>
      </w:divBdr>
    </w:div>
    <w:div w:id="845944287">
      <w:bodyDiv w:val="1"/>
      <w:marLeft w:val="0"/>
      <w:marRight w:val="0"/>
      <w:marTop w:val="0"/>
      <w:marBottom w:val="0"/>
      <w:divBdr>
        <w:top w:val="none" w:sz="0" w:space="0" w:color="auto"/>
        <w:left w:val="none" w:sz="0" w:space="0" w:color="auto"/>
        <w:bottom w:val="none" w:sz="0" w:space="0" w:color="auto"/>
        <w:right w:val="none" w:sz="0" w:space="0" w:color="auto"/>
      </w:divBdr>
    </w:div>
    <w:div w:id="849638866">
      <w:bodyDiv w:val="1"/>
      <w:marLeft w:val="0"/>
      <w:marRight w:val="0"/>
      <w:marTop w:val="0"/>
      <w:marBottom w:val="0"/>
      <w:divBdr>
        <w:top w:val="none" w:sz="0" w:space="0" w:color="auto"/>
        <w:left w:val="none" w:sz="0" w:space="0" w:color="auto"/>
        <w:bottom w:val="none" w:sz="0" w:space="0" w:color="auto"/>
        <w:right w:val="none" w:sz="0" w:space="0" w:color="auto"/>
      </w:divBdr>
    </w:div>
    <w:div w:id="869605077">
      <w:bodyDiv w:val="1"/>
      <w:marLeft w:val="0"/>
      <w:marRight w:val="0"/>
      <w:marTop w:val="0"/>
      <w:marBottom w:val="0"/>
      <w:divBdr>
        <w:top w:val="none" w:sz="0" w:space="0" w:color="auto"/>
        <w:left w:val="none" w:sz="0" w:space="0" w:color="auto"/>
        <w:bottom w:val="none" w:sz="0" w:space="0" w:color="auto"/>
        <w:right w:val="none" w:sz="0" w:space="0" w:color="auto"/>
      </w:divBdr>
    </w:div>
    <w:div w:id="881942161">
      <w:bodyDiv w:val="1"/>
      <w:marLeft w:val="0"/>
      <w:marRight w:val="0"/>
      <w:marTop w:val="0"/>
      <w:marBottom w:val="0"/>
      <w:divBdr>
        <w:top w:val="none" w:sz="0" w:space="0" w:color="auto"/>
        <w:left w:val="none" w:sz="0" w:space="0" w:color="auto"/>
        <w:bottom w:val="none" w:sz="0" w:space="0" w:color="auto"/>
        <w:right w:val="none" w:sz="0" w:space="0" w:color="auto"/>
      </w:divBdr>
    </w:div>
    <w:div w:id="1002315768">
      <w:bodyDiv w:val="1"/>
      <w:marLeft w:val="0"/>
      <w:marRight w:val="0"/>
      <w:marTop w:val="0"/>
      <w:marBottom w:val="0"/>
      <w:divBdr>
        <w:top w:val="none" w:sz="0" w:space="0" w:color="auto"/>
        <w:left w:val="none" w:sz="0" w:space="0" w:color="auto"/>
        <w:bottom w:val="none" w:sz="0" w:space="0" w:color="auto"/>
        <w:right w:val="none" w:sz="0" w:space="0" w:color="auto"/>
      </w:divBdr>
    </w:div>
    <w:div w:id="1258059563">
      <w:bodyDiv w:val="1"/>
      <w:marLeft w:val="0"/>
      <w:marRight w:val="0"/>
      <w:marTop w:val="0"/>
      <w:marBottom w:val="0"/>
      <w:divBdr>
        <w:top w:val="none" w:sz="0" w:space="0" w:color="auto"/>
        <w:left w:val="none" w:sz="0" w:space="0" w:color="auto"/>
        <w:bottom w:val="none" w:sz="0" w:space="0" w:color="auto"/>
        <w:right w:val="none" w:sz="0" w:space="0" w:color="auto"/>
      </w:divBdr>
    </w:div>
    <w:div w:id="1283882741">
      <w:bodyDiv w:val="1"/>
      <w:marLeft w:val="0"/>
      <w:marRight w:val="0"/>
      <w:marTop w:val="0"/>
      <w:marBottom w:val="0"/>
      <w:divBdr>
        <w:top w:val="none" w:sz="0" w:space="0" w:color="auto"/>
        <w:left w:val="none" w:sz="0" w:space="0" w:color="auto"/>
        <w:bottom w:val="none" w:sz="0" w:space="0" w:color="auto"/>
        <w:right w:val="none" w:sz="0" w:space="0" w:color="auto"/>
      </w:divBdr>
      <w:divsChild>
        <w:div w:id="25301958">
          <w:marLeft w:val="274"/>
          <w:marRight w:val="0"/>
          <w:marTop w:val="0"/>
          <w:marBottom w:val="0"/>
          <w:divBdr>
            <w:top w:val="none" w:sz="0" w:space="0" w:color="auto"/>
            <w:left w:val="none" w:sz="0" w:space="0" w:color="auto"/>
            <w:bottom w:val="none" w:sz="0" w:space="0" w:color="auto"/>
            <w:right w:val="none" w:sz="0" w:space="0" w:color="auto"/>
          </w:divBdr>
        </w:div>
        <w:div w:id="42877238">
          <w:marLeft w:val="274"/>
          <w:marRight w:val="0"/>
          <w:marTop w:val="0"/>
          <w:marBottom w:val="0"/>
          <w:divBdr>
            <w:top w:val="none" w:sz="0" w:space="0" w:color="auto"/>
            <w:left w:val="none" w:sz="0" w:space="0" w:color="auto"/>
            <w:bottom w:val="none" w:sz="0" w:space="0" w:color="auto"/>
            <w:right w:val="none" w:sz="0" w:space="0" w:color="auto"/>
          </w:divBdr>
        </w:div>
        <w:div w:id="93980538">
          <w:marLeft w:val="274"/>
          <w:marRight w:val="0"/>
          <w:marTop w:val="0"/>
          <w:marBottom w:val="0"/>
          <w:divBdr>
            <w:top w:val="none" w:sz="0" w:space="0" w:color="auto"/>
            <w:left w:val="none" w:sz="0" w:space="0" w:color="auto"/>
            <w:bottom w:val="none" w:sz="0" w:space="0" w:color="auto"/>
            <w:right w:val="none" w:sz="0" w:space="0" w:color="auto"/>
          </w:divBdr>
        </w:div>
        <w:div w:id="163058962">
          <w:marLeft w:val="274"/>
          <w:marRight w:val="0"/>
          <w:marTop w:val="0"/>
          <w:marBottom w:val="0"/>
          <w:divBdr>
            <w:top w:val="none" w:sz="0" w:space="0" w:color="auto"/>
            <w:left w:val="none" w:sz="0" w:space="0" w:color="auto"/>
            <w:bottom w:val="none" w:sz="0" w:space="0" w:color="auto"/>
            <w:right w:val="none" w:sz="0" w:space="0" w:color="auto"/>
          </w:divBdr>
        </w:div>
        <w:div w:id="175193225">
          <w:marLeft w:val="274"/>
          <w:marRight w:val="0"/>
          <w:marTop w:val="0"/>
          <w:marBottom w:val="0"/>
          <w:divBdr>
            <w:top w:val="none" w:sz="0" w:space="0" w:color="auto"/>
            <w:left w:val="none" w:sz="0" w:space="0" w:color="auto"/>
            <w:bottom w:val="none" w:sz="0" w:space="0" w:color="auto"/>
            <w:right w:val="none" w:sz="0" w:space="0" w:color="auto"/>
          </w:divBdr>
        </w:div>
        <w:div w:id="265121041">
          <w:marLeft w:val="274"/>
          <w:marRight w:val="0"/>
          <w:marTop w:val="0"/>
          <w:marBottom w:val="0"/>
          <w:divBdr>
            <w:top w:val="none" w:sz="0" w:space="0" w:color="auto"/>
            <w:left w:val="none" w:sz="0" w:space="0" w:color="auto"/>
            <w:bottom w:val="none" w:sz="0" w:space="0" w:color="auto"/>
            <w:right w:val="none" w:sz="0" w:space="0" w:color="auto"/>
          </w:divBdr>
        </w:div>
        <w:div w:id="291256240">
          <w:marLeft w:val="274"/>
          <w:marRight w:val="0"/>
          <w:marTop w:val="0"/>
          <w:marBottom w:val="0"/>
          <w:divBdr>
            <w:top w:val="none" w:sz="0" w:space="0" w:color="auto"/>
            <w:left w:val="none" w:sz="0" w:space="0" w:color="auto"/>
            <w:bottom w:val="none" w:sz="0" w:space="0" w:color="auto"/>
            <w:right w:val="none" w:sz="0" w:space="0" w:color="auto"/>
          </w:divBdr>
        </w:div>
        <w:div w:id="306591299">
          <w:marLeft w:val="274"/>
          <w:marRight w:val="0"/>
          <w:marTop w:val="0"/>
          <w:marBottom w:val="0"/>
          <w:divBdr>
            <w:top w:val="none" w:sz="0" w:space="0" w:color="auto"/>
            <w:left w:val="none" w:sz="0" w:space="0" w:color="auto"/>
            <w:bottom w:val="none" w:sz="0" w:space="0" w:color="auto"/>
            <w:right w:val="none" w:sz="0" w:space="0" w:color="auto"/>
          </w:divBdr>
        </w:div>
        <w:div w:id="308943614">
          <w:marLeft w:val="274"/>
          <w:marRight w:val="0"/>
          <w:marTop w:val="0"/>
          <w:marBottom w:val="0"/>
          <w:divBdr>
            <w:top w:val="none" w:sz="0" w:space="0" w:color="auto"/>
            <w:left w:val="none" w:sz="0" w:space="0" w:color="auto"/>
            <w:bottom w:val="none" w:sz="0" w:space="0" w:color="auto"/>
            <w:right w:val="none" w:sz="0" w:space="0" w:color="auto"/>
          </w:divBdr>
        </w:div>
        <w:div w:id="381443406">
          <w:marLeft w:val="274"/>
          <w:marRight w:val="0"/>
          <w:marTop w:val="0"/>
          <w:marBottom w:val="0"/>
          <w:divBdr>
            <w:top w:val="none" w:sz="0" w:space="0" w:color="auto"/>
            <w:left w:val="none" w:sz="0" w:space="0" w:color="auto"/>
            <w:bottom w:val="none" w:sz="0" w:space="0" w:color="auto"/>
            <w:right w:val="none" w:sz="0" w:space="0" w:color="auto"/>
          </w:divBdr>
        </w:div>
        <w:div w:id="394668713">
          <w:marLeft w:val="274"/>
          <w:marRight w:val="0"/>
          <w:marTop w:val="0"/>
          <w:marBottom w:val="0"/>
          <w:divBdr>
            <w:top w:val="none" w:sz="0" w:space="0" w:color="auto"/>
            <w:left w:val="none" w:sz="0" w:space="0" w:color="auto"/>
            <w:bottom w:val="none" w:sz="0" w:space="0" w:color="auto"/>
            <w:right w:val="none" w:sz="0" w:space="0" w:color="auto"/>
          </w:divBdr>
        </w:div>
        <w:div w:id="408774543">
          <w:marLeft w:val="274"/>
          <w:marRight w:val="0"/>
          <w:marTop w:val="0"/>
          <w:marBottom w:val="0"/>
          <w:divBdr>
            <w:top w:val="none" w:sz="0" w:space="0" w:color="auto"/>
            <w:left w:val="none" w:sz="0" w:space="0" w:color="auto"/>
            <w:bottom w:val="none" w:sz="0" w:space="0" w:color="auto"/>
            <w:right w:val="none" w:sz="0" w:space="0" w:color="auto"/>
          </w:divBdr>
        </w:div>
        <w:div w:id="460660744">
          <w:marLeft w:val="274"/>
          <w:marRight w:val="0"/>
          <w:marTop w:val="0"/>
          <w:marBottom w:val="0"/>
          <w:divBdr>
            <w:top w:val="none" w:sz="0" w:space="0" w:color="auto"/>
            <w:left w:val="none" w:sz="0" w:space="0" w:color="auto"/>
            <w:bottom w:val="none" w:sz="0" w:space="0" w:color="auto"/>
            <w:right w:val="none" w:sz="0" w:space="0" w:color="auto"/>
          </w:divBdr>
        </w:div>
        <w:div w:id="546840848">
          <w:marLeft w:val="274"/>
          <w:marRight w:val="0"/>
          <w:marTop w:val="0"/>
          <w:marBottom w:val="0"/>
          <w:divBdr>
            <w:top w:val="none" w:sz="0" w:space="0" w:color="auto"/>
            <w:left w:val="none" w:sz="0" w:space="0" w:color="auto"/>
            <w:bottom w:val="none" w:sz="0" w:space="0" w:color="auto"/>
            <w:right w:val="none" w:sz="0" w:space="0" w:color="auto"/>
          </w:divBdr>
        </w:div>
        <w:div w:id="552161471">
          <w:marLeft w:val="274"/>
          <w:marRight w:val="0"/>
          <w:marTop w:val="0"/>
          <w:marBottom w:val="0"/>
          <w:divBdr>
            <w:top w:val="none" w:sz="0" w:space="0" w:color="auto"/>
            <w:left w:val="none" w:sz="0" w:space="0" w:color="auto"/>
            <w:bottom w:val="none" w:sz="0" w:space="0" w:color="auto"/>
            <w:right w:val="none" w:sz="0" w:space="0" w:color="auto"/>
          </w:divBdr>
        </w:div>
        <w:div w:id="646662921">
          <w:marLeft w:val="274"/>
          <w:marRight w:val="0"/>
          <w:marTop w:val="0"/>
          <w:marBottom w:val="0"/>
          <w:divBdr>
            <w:top w:val="none" w:sz="0" w:space="0" w:color="auto"/>
            <w:left w:val="none" w:sz="0" w:space="0" w:color="auto"/>
            <w:bottom w:val="none" w:sz="0" w:space="0" w:color="auto"/>
            <w:right w:val="none" w:sz="0" w:space="0" w:color="auto"/>
          </w:divBdr>
        </w:div>
        <w:div w:id="670989625">
          <w:marLeft w:val="274"/>
          <w:marRight w:val="0"/>
          <w:marTop w:val="0"/>
          <w:marBottom w:val="0"/>
          <w:divBdr>
            <w:top w:val="none" w:sz="0" w:space="0" w:color="auto"/>
            <w:left w:val="none" w:sz="0" w:space="0" w:color="auto"/>
            <w:bottom w:val="none" w:sz="0" w:space="0" w:color="auto"/>
            <w:right w:val="none" w:sz="0" w:space="0" w:color="auto"/>
          </w:divBdr>
        </w:div>
        <w:div w:id="707493821">
          <w:marLeft w:val="274"/>
          <w:marRight w:val="0"/>
          <w:marTop w:val="0"/>
          <w:marBottom w:val="0"/>
          <w:divBdr>
            <w:top w:val="none" w:sz="0" w:space="0" w:color="auto"/>
            <w:left w:val="none" w:sz="0" w:space="0" w:color="auto"/>
            <w:bottom w:val="none" w:sz="0" w:space="0" w:color="auto"/>
            <w:right w:val="none" w:sz="0" w:space="0" w:color="auto"/>
          </w:divBdr>
        </w:div>
        <w:div w:id="708727587">
          <w:marLeft w:val="274"/>
          <w:marRight w:val="0"/>
          <w:marTop w:val="0"/>
          <w:marBottom w:val="0"/>
          <w:divBdr>
            <w:top w:val="none" w:sz="0" w:space="0" w:color="auto"/>
            <w:left w:val="none" w:sz="0" w:space="0" w:color="auto"/>
            <w:bottom w:val="none" w:sz="0" w:space="0" w:color="auto"/>
            <w:right w:val="none" w:sz="0" w:space="0" w:color="auto"/>
          </w:divBdr>
        </w:div>
        <w:div w:id="711081890">
          <w:marLeft w:val="274"/>
          <w:marRight w:val="0"/>
          <w:marTop w:val="0"/>
          <w:marBottom w:val="0"/>
          <w:divBdr>
            <w:top w:val="none" w:sz="0" w:space="0" w:color="auto"/>
            <w:left w:val="none" w:sz="0" w:space="0" w:color="auto"/>
            <w:bottom w:val="none" w:sz="0" w:space="0" w:color="auto"/>
            <w:right w:val="none" w:sz="0" w:space="0" w:color="auto"/>
          </w:divBdr>
        </w:div>
        <w:div w:id="795023208">
          <w:marLeft w:val="274"/>
          <w:marRight w:val="0"/>
          <w:marTop w:val="0"/>
          <w:marBottom w:val="0"/>
          <w:divBdr>
            <w:top w:val="none" w:sz="0" w:space="0" w:color="auto"/>
            <w:left w:val="none" w:sz="0" w:space="0" w:color="auto"/>
            <w:bottom w:val="none" w:sz="0" w:space="0" w:color="auto"/>
            <w:right w:val="none" w:sz="0" w:space="0" w:color="auto"/>
          </w:divBdr>
        </w:div>
        <w:div w:id="838352725">
          <w:marLeft w:val="274"/>
          <w:marRight w:val="0"/>
          <w:marTop w:val="0"/>
          <w:marBottom w:val="0"/>
          <w:divBdr>
            <w:top w:val="none" w:sz="0" w:space="0" w:color="auto"/>
            <w:left w:val="none" w:sz="0" w:space="0" w:color="auto"/>
            <w:bottom w:val="none" w:sz="0" w:space="0" w:color="auto"/>
            <w:right w:val="none" w:sz="0" w:space="0" w:color="auto"/>
          </w:divBdr>
        </w:div>
        <w:div w:id="861821703">
          <w:marLeft w:val="274"/>
          <w:marRight w:val="0"/>
          <w:marTop w:val="0"/>
          <w:marBottom w:val="0"/>
          <w:divBdr>
            <w:top w:val="none" w:sz="0" w:space="0" w:color="auto"/>
            <w:left w:val="none" w:sz="0" w:space="0" w:color="auto"/>
            <w:bottom w:val="none" w:sz="0" w:space="0" w:color="auto"/>
            <w:right w:val="none" w:sz="0" w:space="0" w:color="auto"/>
          </w:divBdr>
        </w:div>
        <w:div w:id="882447962">
          <w:marLeft w:val="274"/>
          <w:marRight w:val="0"/>
          <w:marTop w:val="0"/>
          <w:marBottom w:val="0"/>
          <w:divBdr>
            <w:top w:val="none" w:sz="0" w:space="0" w:color="auto"/>
            <w:left w:val="none" w:sz="0" w:space="0" w:color="auto"/>
            <w:bottom w:val="none" w:sz="0" w:space="0" w:color="auto"/>
            <w:right w:val="none" w:sz="0" w:space="0" w:color="auto"/>
          </w:divBdr>
        </w:div>
        <w:div w:id="987396061">
          <w:marLeft w:val="274"/>
          <w:marRight w:val="0"/>
          <w:marTop w:val="0"/>
          <w:marBottom w:val="0"/>
          <w:divBdr>
            <w:top w:val="none" w:sz="0" w:space="0" w:color="auto"/>
            <w:left w:val="none" w:sz="0" w:space="0" w:color="auto"/>
            <w:bottom w:val="none" w:sz="0" w:space="0" w:color="auto"/>
            <w:right w:val="none" w:sz="0" w:space="0" w:color="auto"/>
          </w:divBdr>
        </w:div>
        <w:div w:id="1047070957">
          <w:marLeft w:val="274"/>
          <w:marRight w:val="0"/>
          <w:marTop w:val="0"/>
          <w:marBottom w:val="0"/>
          <w:divBdr>
            <w:top w:val="none" w:sz="0" w:space="0" w:color="auto"/>
            <w:left w:val="none" w:sz="0" w:space="0" w:color="auto"/>
            <w:bottom w:val="none" w:sz="0" w:space="0" w:color="auto"/>
            <w:right w:val="none" w:sz="0" w:space="0" w:color="auto"/>
          </w:divBdr>
        </w:div>
        <w:div w:id="1081298632">
          <w:marLeft w:val="274"/>
          <w:marRight w:val="0"/>
          <w:marTop w:val="0"/>
          <w:marBottom w:val="0"/>
          <w:divBdr>
            <w:top w:val="none" w:sz="0" w:space="0" w:color="auto"/>
            <w:left w:val="none" w:sz="0" w:space="0" w:color="auto"/>
            <w:bottom w:val="none" w:sz="0" w:space="0" w:color="auto"/>
            <w:right w:val="none" w:sz="0" w:space="0" w:color="auto"/>
          </w:divBdr>
        </w:div>
        <w:div w:id="1105883254">
          <w:marLeft w:val="274"/>
          <w:marRight w:val="0"/>
          <w:marTop w:val="0"/>
          <w:marBottom w:val="0"/>
          <w:divBdr>
            <w:top w:val="none" w:sz="0" w:space="0" w:color="auto"/>
            <w:left w:val="none" w:sz="0" w:space="0" w:color="auto"/>
            <w:bottom w:val="none" w:sz="0" w:space="0" w:color="auto"/>
            <w:right w:val="none" w:sz="0" w:space="0" w:color="auto"/>
          </w:divBdr>
        </w:div>
        <w:div w:id="1175072586">
          <w:marLeft w:val="274"/>
          <w:marRight w:val="0"/>
          <w:marTop w:val="0"/>
          <w:marBottom w:val="0"/>
          <w:divBdr>
            <w:top w:val="none" w:sz="0" w:space="0" w:color="auto"/>
            <w:left w:val="none" w:sz="0" w:space="0" w:color="auto"/>
            <w:bottom w:val="none" w:sz="0" w:space="0" w:color="auto"/>
            <w:right w:val="none" w:sz="0" w:space="0" w:color="auto"/>
          </w:divBdr>
        </w:div>
        <w:div w:id="1240483339">
          <w:marLeft w:val="274"/>
          <w:marRight w:val="0"/>
          <w:marTop w:val="0"/>
          <w:marBottom w:val="0"/>
          <w:divBdr>
            <w:top w:val="none" w:sz="0" w:space="0" w:color="auto"/>
            <w:left w:val="none" w:sz="0" w:space="0" w:color="auto"/>
            <w:bottom w:val="none" w:sz="0" w:space="0" w:color="auto"/>
            <w:right w:val="none" w:sz="0" w:space="0" w:color="auto"/>
          </w:divBdr>
        </w:div>
        <w:div w:id="1284648956">
          <w:marLeft w:val="274"/>
          <w:marRight w:val="0"/>
          <w:marTop w:val="0"/>
          <w:marBottom w:val="0"/>
          <w:divBdr>
            <w:top w:val="none" w:sz="0" w:space="0" w:color="auto"/>
            <w:left w:val="none" w:sz="0" w:space="0" w:color="auto"/>
            <w:bottom w:val="none" w:sz="0" w:space="0" w:color="auto"/>
            <w:right w:val="none" w:sz="0" w:space="0" w:color="auto"/>
          </w:divBdr>
        </w:div>
        <w:div w:id="1438528139">
          <w:marLeft w:val="274"/>
          <w:marRight w:val="0"/>
          <w:marTop w:val="0"/>
          <w:marBottom w:val="0"/>
          <w:divBdr>
            <w:top w:val="none" w:sz="0" w:space="0" w:color="auto"/>
            <w:left w:val="none" w:sz="0" w:space="0" w:color="auto"/>
            <w:bottom w:val="none" w:sz="0" w:space="0" w:color="auto"/>
            <w:right w:val="none" w:sz="0" w:space="0" w:color="auto"/>
          </w:divBdr>
        </w:div>
        <w:div w:id="1473715804">
          <w:marLeft w:val="274"/>
          <w:marRight w:val="0"/>
          <w:marTop w:val="0"/>
          <w:marBottom w:val="0"/>
          <w:divBdr>
            <w:top w:val="none" w:sz="0" w:space="0" w:color="auto"/>
            <w:left w:val="none" w:sz="0" w:space="0" w:color="auto"/>
            <w:bottom w:val="none" w:sz="0" w:space="0" w:color="auto"/>
            <w:right w:val="none" w:sz="0" w:space="0" w:color="auto"/>
          </w:divBdr>
        </w:div>
        <w:div w:id="1547251330">
          <w:marLeft w:val="274"/>
          <w:marRight w:val="0"/>
          <w:marTop w:val="0"/>
          <w:marBottom w:val="0"/>
          <w:divBdr>
            <w:top w:val="none" w:sz="0" w:space="0" w:color="auto"/>
            <w:left w:val="none" w:sz="0" w:space="0" w:color="auto"/>
            <w:bottom w:val="none" w:sz="0" w:space="0" w:color="auto"/>
            <w:right w:val="none" w:sz="0" w:space="0" w:color="auto"/>
          </w:divBdr>
        </w:div>
        <w:div w:id="1720863835">
          <w:marLeft w:val="274"/>
          <w:marRight w:val="0"/>
          <w:marTop w:val="0"/>
          <w:marBottom w:val="0"/>
          <w:divBdr>
            <w:top w:val="none" w:sz="0" w:space="0" w:color="auto"/>
            <w:left w:val="none" w:sz="0" w:space="0" w:color="auto"/>
            <w:bottom w:val="none" w:sz="0" w:space="0" w:color="auto"/>
            <w:right w:val="none" w:sz="0" w:space="0" w:color="auto"/>
          </w:divBdr>
        </w:div>
        <w:div w:id="1792823478">
          <w:marLeft w:val="274"/>
          <w:marRight w:val="0"/>
          <w:marTop w:val="0"/>
          <w:marBottom w:val="0"/>
          <w:divBdr>
            <w:top w:val="none" w:sz="0" w:space="0" w:color="auto"/>
            <w:left w:val="none" w:sz="0" w:space="0" w:color="auto"/>
            <w:bottom w:val="none" w:sz="0" w:space="0" w:color="auto"/>
            <w:right w:val="none" w:sz="0" w:space="0" w:color="auto"/>
          </w:divBdr>
        </w:div>
        <w:div w:id="1974289052">
          <w:marLeft w:val="274"/>
          <w:marRight w:val="0"/>
          <w:marTop w:val="0"/>
          <w:marBottom w:val="0"/>
          <w:divBdr>
            <w:top w:val="none" w:sz="0" w:space="0" w:color="auto"/>
            <w:left w:val="none" w:sz="0" w:space="0" w:color="auto"/>
            <w:bottom w:val="none" w:sz="0" w:space="0" w:color="auto"/>
            <w:right w:val="none" w:sz="0" w:space="0" w:color="auto"/>
          </w:divBdr>
        </w:div>
        <w:div w:id="2077052219">
          <w:marLeft w:val="274"/>
          <w:marRight w:val="0"/>
          <w:marTop w:val="0"/>
          <w:marBottom w:val="0"/>
          <w:divBdr>
            <w:top w:val="none" w:sz="0" w:space="0" w:color="auto"/>
            <w:left w:val="none" w:sz="0" w:space="0" w:color="auto"/>
            <w:bottom w:val="none" w:sz="0" w:space="0" w:color="auto"/>
            <w:right w:val="none" w:sz="0" w:space="0" w:color="auto"/>
          </w:divBdr>
        </w:div>
        <w:div w:id="2084639405">
          <w:marLeft w:val="274"/>
          <w:marRight w:val="0"/>
          <w:marTop w:val="0"/>
          <w:marBottom w:val="0"/>
          <w:divBdr>
            <w:top w:val="none" w:sz="0" w:space="0" w:color="auto"/>
            <w:left w:val="none" w:sz="0" w:space="0" w:color="auto"/>
            <w:bottom w:val="none" w:sz="0" w:space="0" w:color="auto"/>
            <w:right w:val="none" w:sz="0" w:space="0" w:color="auto"/>
          </w:divBdr>
        </w:div>
        <w:div w:id="2084988861">
          <w:marLeft w:val="274"/>
          <w:marRight w:val="0"/>
          <w:marTop w:val="0"/>
          <w:marBottom w:val="0"/>
          <w:divBdr>
            <w:top w:val="none" w:sz="0" w:space="0" w:color="auto"/>
            <w:left w:val="none" w:sz="0" w:space="0" w:color="auto"/>
            <w:bottom w:val="none" w:sz="0" w:space="0" w:color="auto"/>
            <w:right w:val="none" w:sz="0" w:space="0" w:color="auto"/>
          </w:divBdr>
        </w:div>
        <w:div w:id="2094667329">
          <w:marLeft w:val="274"/>
          <w:marRight w:val="0"/>
          <w:marTop w:val="0"/>
          <w:marBottom w:val="0"/>
          <w:divBdr>
            <w:top w:val="none" w:sz="0" w:space="0" w:color="auto"/>
            <w:left w:val="none" w:sz="0" w:space="0" w:color="auto"/>
            <w:bottom w:val="none" w:sz="0" w:space="0" w:color="auto"/>
            <w:right w:val="none" w:sz="0" w:space="0" w:color="auto"/>
          </w:divBdr>
        </w:div>
        <w:div w:id="2096435874">
          <w:marLeft w:val="274"/>
          <w:marRight w:val="0"/>
          <w:marTop w:val="0"/>
          <w:marBottom w:val="0"/>
          <w:divBdr>
            <w:top w:val="none" w:sz="0" w:space="0" w:color="auto"/>
            <w:left w:val="none" w:sz="0" w:space="0" w:color="auto"/>
            <w:bottom w:val="none" w:sz="0" w:space="0" w:color="auto"/>
            <w:right w:val="none" w:sz="0" w:space="0" w:color="auto"/>
          </w:divBdr>
        </w:div>
      </w:divsChild>
    </w:div>
    <w:div w:id="1291127587">
      <w:bodyDiv w:val="1"/>
      <w:marLeft w:val="0"/>
      <w:marRight w:val="0"/>
      <w:marTop w:val="0"/>
      <w:marBottom w:val="0"/>
      <w:divBdr>
        <w:top w:val="none" w:sz="0" w:space="0" w:color="auto"/>
        <w:left w:val="none" w:sz="0" w:space="0" w:color="auto"/>
        <w:bottom w:val="none" w:sz="0" w:space="0" w:color="auto"/>
        <w:right w:val="none" w:sz="0" w:space="0" w:color="auto"/>
      </w:divBdr>
    </w:div>
    <w:div w:id="1402289384">
      <w:bodyDiv w:val="1"/>
      <w:marLeft w:val="0"/>
      <w:marRight w:val="0"/>
      <w:marTop w:val="0"/>
      <w:marBottom w:val="0"/>
      <w:divBdr>
        <w:top w:val="none" w:sz="0" w:space="0" w:color="auto"/>
        <w:left w:val="none" w:sz="0" w:space="0" w:color="auto"/>
        <w:bottom w:val="none" w:sz="0" w:space="0" w:color="auto"/>
        <w:right w:val="none" w:sz="0" w:space="0" w:color="auto"/>
      </w:divBdr>
    </w:div>
    <w:div w:id="1408645315">
      <w:bodyDiv w:val="1"/>
      <w:marLeft w:val="0"/>
      <w:marRight w:val="0"/>
      <w:marTop w:val="0"/>
      <w:marBottom w:val="0"/>
      <w:divBdr>
        <w:top w:val="none" w:sz="0" w:space="0" w:color="auto"/>
        <w:left w:val="none" w:sz="0" w:space="0" w:color="auto"/>
        <w:bottom w:val="none" w:sz="0" w:space="0" w:color="auto"/>
        <w:right w:val="none" w:sz="0" w:space="0" w:color="auto"/>
      </w:divBdr>
    </w:div>
    <w:div w:id="1450081633">
      <w:bodyDiv w:val="1"/>
      <w:marLeft w:val="0"/>
      <w:marRight w:val="0"/>
      <w:marTop w:val="0"/>
      <w:marBottom w:val="0"/>
      <w:divBdr>
        <w:top w:val="none" w:sz="0" w:space="0" w:color="auto"/>
        <w:left w:val="none" w:sz="0" w:space="0" w:color="auto"/>
        <w:bottom w:val="none" w:sz="0" w:space="0" w:color="auto"/>
        <w:right w:val="none" w:sz="0" w:space="0" w:color="auto"/>
      </w:divBdr>
    </w:div>
    <w:div w:id="1631278150">
      <w:bodyDiv w:val="1"/>
      <w:marLeft w:val="0"/>
      <w:marRight w:val="0"/>
      <w:marTop w:val="0"/>
      <w:marBottom w:val="0"/>
      <w:divBdr>
        <w:top w:val="none" w:sz="0" w:space="0" w:color="auto"/>
        <w:left w:val="none" w:sz="0" w:space="0" w:color="auto"/>
        <w:bottom w:val="none" w:sz="0" w:space="0" w:color="auto"/>
        <w:right w:val="none" w:sz="0" w:space="0" w:color="auto"/>
      </w:divBdr>
    </w:div>
    <w:div w:id="1820682054">
      <w:bodyDiv w:val="1"/>
      <w:marLeft w:val="0"/>
      <w:marRight w:val="0"/>
      <w:marTop w:val="0"/>
      <w:marBottom w:val="0"/>
      <w:divBdr>
        <w:top w:val="none" w:sz="0" w:space="0" w:color="auto"/>
        <w:left w:val="none" w:sz="0" w:space="0" w:color="auto"/>
        <w:bottom w:val="none" w:sz="0" w:space="0" w:color="auto"/>
        <w:right w:val="none" w:sz="0" w:space="0" w:color="auto"/>
      </w:divBdr>
    </w:div>
    <w:div w:id="1989355421">
      <w:bodyDiv w:val="1"/>
      <w:marLeft w:val="0"/>
      <w:marRight w:val="0"/>
      <w:marTop w:val="0"/>
      <w:marBottom w:val="0"/>
      <w:divBdr>
        <w:top w:val="none" w:sz="0" w:space="0" w:color="auto"/>
        <w:left w:val="none" w:sz="0" w:space="0" w:color="auto"/>
        <w:bottom w:val="none" w:sz="0" w:space="0" w:color="auto"/>
        <w:right w:val="none" w:sz="0" w:space="0" w:color="auto"/>
      </w:divBdr>
    </w:div>
    <w:div w:id="2045014954">
      <w:bodyDiv w:val="1"/>
      <w:marLeft w:val="0"/>
      <w:marRight w:val="0"/>
      <w:marTop w:val="0"/>
      <w:marBottom w:val="0"/>
      <w:divBdr>
        <w:top w:val="none" w:sz="0" w:space="0" w:color="auto"/>
        <w:left w:val="none" w:sz="0" w:space="0" w:color="auto"/>
        <w:bottom w:val="none" w:sz="0" w:space="0" w:color="auto"/>
        <w:right w:val="none" w:sz="0" w:space="0" w:color="auto"/>
      </w:divBdr>
    </w:div>
    <w:div w:id="2082025025">
      <w:bodyDiv w:val="1"/>
      <w:marLeft w:val="0"/>
      <w:marRight w:val="0"/>
      <w:marTop w:val="0"/>
      <w:marBottom w:val="0"/>
      <w:divBdr>
        <w:top w:val="none" w:sz="0" w:space="0" w:color="auto"/>
        <w:left w:val="none" w:sz="0" w:space="0" w:color="auto"/>
        <w:bottom w:val="none" w:sz="0" w:space="0" w:color="auto"/>
        <w:right w:val="none" w:sz="0" w:space="0" w:color="auto"/>
      </w:divBdr>
    </w:div>
    <w:div w:id="214592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settings.xml" Type="http://schemas.openxmlformats.org/officeDocument/2006/relationships/settings" Id="rId8"></Relationship><Relationship Target="header2.xml" Type="http://schemas.openxmlformats.org/officeDocument/2006/relationships/header" Id="rId13"></Relationship><Relationship Target="header4.xml" Type="http://schemas.openxmlformats.org/officeDocument/2006/relationships/header" Id="rId18"></Relationship><Relationship Target="styles.xml" Type="http://schemas.openxmlformats.org/officeDocument/2006/relationships/styles" Id="rId7"></Relationship><Relationship Target="header1.xml" Type="http://schemas.openxmlformats.org/officeDocument/2006/relationships/header" Id="rId12"></Relationship><Relationship Target="footer3.xml" Type="http://schemas.openxmlformats.org/officeDocument/2006/relationships/footer" Id="rId17"></Relationship><Relationship Target="header3.xml" Type="http://schemas.openxmlformats.org/officeDocument/2006/relationships/header" Id="rId16"></Relationship><Relationship Target="theme/theme1.xml" Type="http://schemas.openxmlformats.org/officeDocument/2006/relationships/theme" Id="rId20"></Relationship><Relationship Target="customizations.xml" Type="http://schemas.microsoft.com/office/2006/relationships/keyMapCustomizations" Id="rId1"></Relationship><Relationship Target="numbering.xml" Type="http://schemas.openxmlformats.org/officeDocument/2006/relationships/numbering" Id="rId6"></Relationship><Relationship Target="endnotes.xml" Type="http://schemas.openxmlformats.org/officeDocument/2006/relationships/endnotes" Id="rId11"></Relationship><Relationship Target="footer2.xml" Type="http://schemas.openxmlformats.org/officeDocument/2006/relationships/footer" Id="rId15"></Relationship><Relationship Target="footnotes.xml" Type="http://schemas.openxmlformats.org/officeDocument/2006/relationships/footnotes" Id="rId10"></Relationship><Relationship Target="fontTable.xml" Type="http://schemas.openxmlformats.org/officeDocument/2006/relationships/fontTable" Id="rId19"></Relationship><Relationship Target="webSettings.xml" Type="http://schemas.openxmlformats.org/officeDocument/2006/relationships/webSettings" Id="rId9"></Relationship><Relationship Target="footer1.xml" Type="http://schemas.openxmlformats.org/officeDocument/2006/relationships/footer" Id="rId14"></Relationship></Relationships>
</file>

<file path=word/_rels/header3.xml.rels><?xml version="1.0" encoding="UTF-8" ?><Relationships xmlns="http://schemas.openxmlformats.org/package/2006/relationships"><Relationship Target="media/image1.png" Type="http://schemas.openxmlformats.org/officeDocument/2006/relationships/image" Id="rId1"></Relationship></Relationships>
</file>

<file path=word/theme/theme1.xml><?xml version="1.0" encoding="utf-8"?>
<a:theme xmlns:a="http://schemas.openxmlformats.org/drawingml/2006/main" name="CBRE Global Investors 2016 Theme">
  <a:themeElements>
    <a:clrScheme name="CBRE Global Investors">
      <a:dk1>
        <a:sysClr val="windowText" lastClr="000000"/>
      </a:dk1>
      <a:lt1>
        <a:sysClr val="window" lastClr="FFFFFF"/>
      </a:lt1>
      <a:dk2>
        <a:srgbClr val="7F7F7F"/>
      </a:dk2>
      <a:lt2>
        <a:srgbClr val="FFFFFF"/>
      </a:lt2>
      <a:accent1>
        <a:srgbClr val="006A4D"/>
      </a:accent1>
      <a:accent2>
        <a:srgbClr val="69BE28"/>
      </a:accent2>
      <a:accent3>
        <a:srgbClr val="7F7F7F"/>
      </a:accent3>
      <a:accent4>
        <a:srgbClr val="059FC4"/>
      </a:accent4>
      <a:accent5>
        <a:srgbClr val="00559F"/>
      </a:accent5>
      <a:accent6>
        <a:srgbClr val="A23F97"/>
      </a:accent6>
      <a:hlink>
        <a:srgbClr val="006A4D"/>
      </a:hlink>
      <a:folHlink>
        <a:srgbClr val="69BE28"/>
      </a:folHlink>
    </a:clrScheme>
    <a:fontScheme name="CBRE Global Investors Fonts">
      <a:majorFont>
        <a:latin typeface="Futura Md BT"/>
        <a:ea typeface=""/>
        <a:cs typeface=""/>
      </a:majorFont>
      <a:minorFont>
        <a:latin typeface="Futura Bk B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2"/>
        </a:solidFill>
        <a:ln w="9525" cap="flat" cmpd="sng" algn="ctr">
          <a:noFill/>
          <a:prstDash val="solid"/>
          <a:round/>
          <a:headEnd type="none" w="med" len="med"/>
          <a:tailEnd type="none" w="med" len="med"/>
        </a:ln>
        <a:effectLst/>
      </a:spPr>
      <a:bodyPr vert="horz" wrap="square" lIns="72000" tIns="72000" rIns="72000" bIns="72000" numCol="1" rtlCol="0" anchor="t" anchorCtr="0" compatLnSpc="1">
        <a:prstTxWarp prst="textNoShape">
          <a:avLst/>
        </a:prstTxWarp>
      </a:bodyPr>
      <a:lstStyle>
        <a:defPPr marL="0" marR="0" indent="0" algn="l" defTabSz="914400" rtl="0" eaLnBrk="1" fontAlgn="base" latinLnBrk="0" hangingPunct="1">
          <a:lnSpc>
            <a:spcPct val="110000"/>
          </a:lnSpc>
          <a:spcBef>
            <a:spcPct val="0"/>
          </a:spcBef>
          <a:spcAft>
            <a:spcPts val="400"/>
          </a:spcAft>
          <a:buClrTx/>
          <a:buSzTx/>
          <a:buFontTx/>
          <a:buNone/>
          <a:tabLst/>
          <a:defRPr kumimoji="0" sz="1400" b="0" i="0" u="none" strike="noStrike" cap="none" normalizeH="0" baseline="0" dirty="0" smtClean="0">
            <a:ln>
              <a:noFill/>
            </a:ln>
            <a:solidFill>
              <a:schemeClr val="tx1"/>
            </a:solidFill>
            <a:effectLst/>
            <a:latin typeface="+mn-lt"/>
          </a:defRPr>
        </a:defPPr>
      </a:lstStyle>
    </a:spDef>
    <a:lnDef>
      <a:spPr bwMode="auto">
        <a:ln w="6350">
          <a:solidFill>
            <a:schemeClr val="tx1"/>
          </a:solidFill>
          <a:tailEnd type="none"/>
        </a:ln>
      </a:spPr>
      <a:bodyPr/>
      <a:lstStyle/>
    </a:lnDef>
    <a:txDef>
      <a:spPr>
        <a:noFill/>
      </a:spPr>
      <a:bodyPr wrap="square" lIns="0" tIns="0" rIns="0" bIns="0" rtlCol="0">
        <a:noAutofit/>
      </a:bodyPr>
      <a:lstStyle>
        <a:defPPr algn="l">
          <a:defRPr b="0" dirty="0" err="1" smtClean="0"/>
        </a:defPPr>
      </a:lstStyle>
    </a:txDef>
  </a:objectDefaults>
  <a:extraClrSchemeLst/>
  <a:custClrLst>
    <a:custClr>
      <a:srgbClr val="00A657"/>
    </a:custClr>
    <a:custClr>
      <a:srgbClr val="004B35"/>
    </a:custClr>
    <a:custClr>
      <a:srgbClr val="87CB53"/>
    </a:custClr>
    <a:custClr>
      <a:srgbClr val="338871"/>
    </a:custClr>
    <a:custClr>
      <a:srgbClr val="CCE079"/>
    </a:custClr>
    <a:custClr>
      <a:srgbClr val="33C1E4"/>
    </a:custClr>
    <a:custClr>
      <a:srgbClr val="F033A3"/>
    </a:custClr>
    <a:custClr>
      <a:srgbClr val="B565AC"/>
    </a:custClr>
    <a:custClr>
      <a:srgbClr val="FFE433"/>
    </a:custClr>
    <a:custClr>
      <a:srgbClr val="F79B4C"/>
    </a:custClr>
    <a:custClr>
      <a:srgbClr val="32B778"/>
    </a:custClr>
    <a:custClr>
      <a:srgbClr val="326E5D"/>
    </a:custClr>
    <a:custClr>
      <a:srgbClr val="A5D87E"/>
    </a:custClr>
    <a:custClr>
      <a:srgbClr val="66A594"/>
    </a:custClr>
    <a:custClr>
      <a:srgbClr val="D8E89A"/>
    </a:custClr>
    <a:custClr>
      <a:srgbClr val="66D1EB"/>
    </a:custClr>
    <a:custClr>
      <a:srgbClr val="F466BA"/>
    </a:custClr>
    <a:custClr>
      <a:srgbClr val="C78CC1"/>
    </a:custClr>
    <a:custClr>
      <a:srgbClr val="FFEB66"/>
    </a:custClr>
    <a:custClr>
      <a:srgbClr val="F9B479"/>
    </a:custClr>
    <a:custClr>
      <a:srgbClr val="65C99A"/>
    </a:custClr>
    <a:custClr>
      <a:srgbClr val="659285"/>
    </a:custClr>
    <a:custClr>
      <a:srgbClr val="C3E5A9"/>
    </a:custClr>
    <a:custClr>
      <a:srgbClr val="99C3B8"/>
    </a:custClr>
    <a:custClr>
      <a:srgbClr val="E6EFBC"/>
    </a:custClr>
    <a:custClr>
      <a:srgbClr val="99E0F1"/>
    </a:custClr>
    <a:custClr>
      <a:srgbClr val="F799D1"/>
    </a:custClr>
    <a:custClr>
      <a:srgbClr val="DAB2D5"/>
    </a:custClr>
    <a:custClr>
      <a:srgbClr val="FFF199"/>
    </a:custClr>
    <a:custClr>
      <a:srgbClr val="FBCDA6"/>
    </a:custClr>
  </a:custClrLst>
</a:theme>
</file>

<file path=docProps/app.xml><?xml version="1.0" encoding="utf-8"?>
<Properties xmlns="http://schemas.openxmlformats.org/officeDocument/2006/extended-properties" xmlns:vt="http://schemas.openxmlformats.org/officeDocument/2006/docPropsVTypes">
  <Template/>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

<file path=docProps/custom.xml><?xml version="1.0" encoding="utf-8"?>
<Properties xmlns="http://schemas.openxmlformats.org/officeDocument/2006/custom-properties" xmlns:vt="http://schemas.openxmlformats.org/officeDocument/2006/docPropsVTypes"/>
</file>